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行政许可清单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tabs>
          <w:tab w:val="left" w:pos="0"/>
        </w:tabs>
        <w:spacing w:line="5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电力业务（发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15" w:tblpY="186"/>
        <w:tblOverlap w:val="never"/>
        <w:tblW w:w="8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4365"/>
        <w:gridCol w:w="1303"/>
        <w:gridCol w:w="19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  <w:t>新疆国恒新能源有限责任公司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  <w:t>奎屯新北电力有限责任公司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水电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中国电建集团哈密新能源开发有限公司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和田高能新能源有限公司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吐鲁番恒晟电力开发有限公司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托克逊电建睿达新能源有限公司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华润新能源（洛浦）有限公司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国网能源哈密煤电有限公司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光伏、风电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新疆华电苇湖梁新能源有限公司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图木舒克市正国电力有限公司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吐鲁番市新科能源有限责任公司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克拉玛依新特华光发电有限公司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木垒县华光发电有限责任公司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木垒县新科风能有限责任公司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昌吉州鑫生新能源发电有限公司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新疆昌吉特变能源有限责任公司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托里天润新能风电有限公司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阿图什市华光能源有限公司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中节能（察布查尔）太阳能科技有限公司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155"/>
        <w:gridCol w:w="1378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15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378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179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许可等级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新疆喀建建设工程有限公司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新疆兵安电力建设有限责任公司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新疆启昂建筑工程有限公司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新疆金幸建设发展有限公司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新疆卓然电力建设有限公司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新疆晟宇电力科技有限公司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新疆新高电力科技有限公司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新疆孔雀河建设工程有限公司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新疆德协建设工程有限公司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克拉玛依市独山子天谊建筑安装工程有限公司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新疆德能电力建设有限公司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新疆朗金建设工程有限责任公司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新疆宏宇盛祥建筑工程有限公司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新疆渝源恒通建设工程有限公司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新疆长鸿建设工程有限公司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新疆东森能源科技有限公司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新疆聚凯顺建设工程有限公司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法定代表人及地址变更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41161ED"/>
    <w:rsid w:val="2F2B4933"/>
    <w:rsid w:val="3C2A0558"/>
    <w:rsid w:val="40F2655E"/>
    <w:rsid w:val="46083998"/>
    <w:rsid w:val="5A147CD7"/>
    <w:rsid w:val="6C355449"/>
    <w:rsid w:val="707B1D12"/>
    <w:rsid w:val="78227349"/>
    <w:rsid w:val="7B9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2024-04-15T01:04:00Z</cp:lastPrinted>
  <dcterms:modified xsi:type="dcterms:W3CDTF">2025-02-08T04:13:28Z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