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spacing w:beforeLines="50" w:line="588" w:lineRule="exact"/>
        <w:jc w:val="left"/>
        <w:rPr>
          <w:rFonts w:eastAsia="黑体"/>
          <w:bCs/>
          <w:sz w:val="32"/>
          <w:szCs w:val="32"/>
        </w:rPr>
      </w:pPr>
      <w:bookmarkStart w:id="0" w:name="_GoBack"/>
      <w:bookmarkEnd w:id="0"/>
    </w:p>
    <w:p>
      <w:pPr>
        <w:spacing w:beforeLines="50" w:line="588" w:lineRule="exact"/>
        <w:jc w:val="center"/>
        <w:rPr>
          <w:rFonts w:hint="eastAsia" w:asciiTheme="majorEastAsia" w:hAnsiTheme="majorEastAsia" w:eastAsiaTheme="majorEastAsia"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  <w:lang w:val="en-US" w:eastAsia="zh-CN"/>
        </w:rPr>
        <w:t>年度电价执行情况分析报告模板</w:t>
      </w:r>
    </w:p>
    <w:p>
      <w:pPr>
        <w:spacing w:beforeLines="50" w:line="588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  <w:lang w:val="en-US" w:eastAsia="zh-CN"/>
        </w:rPr>
        <w:t>（电网企业）</w:t>
      </w:r>
    </w:p>
    <w:p>
      <w:pPr>
        <w:spacing w:line="588" w:lineRule="exact"/>
        <w:ind w:firstLine="640"/>
        <w:rPr>
          <w:rFonts w:eastAsia="仿宋_GB2312"/>
          <w:bCs/>
          <w:sz w:val="32"/>
          <w:szCs w:val="32"/>
        </w:rPr>
      </w:pPr>
    </w:p>
    <w:p>
      <w:pPr>
        <w:spacing w:line="588" w:lineRule="exact"/>
        <w:ind w:firstLine="64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</w:t>
      </w:r>
      <w:r>
        <w:rPr>
          <w:rFonts w:eastAsia="黑体"/>
          <w:bCs/>
          <w:sz w:val="28"/>
          <w:szCs w:val="28"/>
        </w:rPr>
        <w:t>购售电量</w:t>
      </w:r>
    </w:p>
    <w:p>
      <w:pPr>
        <w:spacing w:line="588" w:lineRule="exact"/>
        <w:ind w:firstLine="64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（一）含跨省外送交易电量××亿千瓦时：</w:t>
      </w:r>
      <w:r>
        <w:rPr>
          <w:rFonts w:hint="eastAsia" w:eastAsia="仿宋_GB2312"/>
          <w:bCs/>
          <w:sz w:val="28"/>
          <w:szCs w:val="28"/>
          <w:lang w:val="en-US" w:eastAsia="zh-CN"/>
        </w:rPr>
        <w:t>2018</w:t>
      </w:r>
      <w:r>
        <w:rPr>
          <w:rFonts w:hint="eastAsia" w:eastAsia="仿宋_GB2312"/>
          <w:bCs/>
          <w:sz w:val="28"/>
          <w:szCs w:val="28"/>
        </w:rPr>
        <w:t>年，国网新疆电力有限公司购电量××亿千瓦时，同比增加（减少）××亿千瓦时；内部电厂上网电量××亿千瓦时，同比增加（减少）××亿千瓦时；售电量××亿千瓦时，同比增加（减少）××亿千瓦时；线损率为××%，同比增加（减少）××个百分点，详见表1-1。</w:t>
      </w:r>
    </w:p>
    <w:p>
      <w:pPr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表1</w:t>
      </w:r>
      <w:r>
        <w:rPr>
          <w:rFonts w:hint="eastAsia" w:eastAsia="仿宋_GB2312"/>
          <w:bCs/>
          <w:sz w:val="24"/>
          <w:szCs w:val="24"/>
        </w:rPr>
        <w:t>-1</w:t>
      </w:r>
      <w:r>
        <w:rPr>
          <w:rFonts w:eastAsia="仿宋_GB2312"/>
          <w:bCs/>
          <w:sz w:val="24"/>
          <w:szCs w:val="24"/>
        </w:rPr>
        <w:t xml:space="preserve">             </w:t>
      </w:r>
    </w:p>
    <w:p>
      <w:pPr>
        <w:jc w:val="center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购售电量比较表</w:t>
      </w:r>
    </w:p>
    <w:p>
      <w:pPr>
        <w:ind w:firstLine="480" w:firstLineChars="20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 xml:space="preserve">                                                单位：亿千瓦时、%</w:t>
      </w:r>
    </w:p>
    <w:tbl>
      <w:tblPr>
        <w:tblStyle w:val="5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63"/>
        <w:gridCol w:w="1564"/>
        <w:gridCol w:w="1563"/>
        <w:gridCol w:w="15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项  目</w:t>
            </w:r>
          </w:p>
        </w:tc>
        <w:tc>
          <w:tcPr>
            <w:tcW w:w="1563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2018</w:t>
            </w:r>
            <w:r>
              <w:rPr>
                <w:rFonts w:eastAsia="仿宋_GB2312"/>
                <w:bCs/>
                <w:sz w:val="24"/>
                <w:szCs w:val="24"/>
              </w:rPr>
              <w:t>年</w:t>
            </w:r>
          </w:p>
        </w:tc>
        <w:tc>
          <w:tcPr>
            <w:tcW w:w="156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上年同期</w:t>
            </w:r>
          </w:p>
        </w:tc>
        <w:tc>
          <w:tcPr>
            <w:tcW w:w="1563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增长额</w:t>
            </w:r>
          </w:p>
        </w:tc>
        <w:tc>
          <w:tcPr>
            <w:tcW w:w="156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增长率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购电量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ind w:firstLine="120" w:firstLineChars="5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其中：向电网购电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内部电厂上网电量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供购电量合计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售电量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ind w:firstLine="117" w:firstLineChars="49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其中：向电网售电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线损率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8" w:lineRule="exact"/>
        <w:ind w:firstLine="480" w:firstLineChars="20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注：供购电量合计=购电量+内部电厂上网电量；</w:t>
      </w:r>
    </w:p>
    <w:p>
      <w:pPr>
        <w:adjustRightInd w:val="0"/>
        <w:snapToGrid w:val="0"/>
        <w:spacing w:line="588" w:lineRule="exact"/>
        <w:ind w:firstLine="960" w:firstLineChars="40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线损率=（供购电量合计-售电量）/供购电量合计。</w:t>
      </w:r>
    </w:p>
    <w:p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（二）不含跨省外送交易电量××亿千瓦时：</w:t>
      </w:r>
      <w:r>
        <w:rPr>
          <w:rFonts w:hint="eastAsia" w:eastAsia="仿宋_GB2312"/>
          <w:bCs/>
          <w:sz w:val="28"/>
          <w:szCs w:val="28"/>
          <w:lang w:val="en-US" w:eastAsia="zh-CN"/>
        </w:rPr>
        <w:t>2018</w:t>
      </w:r>
      <w:r>
        <w:rPr>
          <w:rFonts w:hint="eastAsia" w:ascii="仿宋_GB2312" w:eastAsia="仿宋_GB2312"/>
          <w:bCs/>
          <w:sz w:val="28"/>
          <w:szCs w:val="28"/>
        </w:rPr>
        <w:t>年，国网新疆电力有限公司购电量××亿千瓦时，同比增加（减少）××亿千瓦时；内部电厂上网电量××亿千瓦时，同比增加（减少）××亿千瓦时；售电量××亿千瓦时，同比增加（减少）××亿千瓦时；线损率为××%，同比增加（减少）××个百分点，详见表1-2。</w:t>
      </w:r>
    </w:p>
    <w:p>
      <w:pPr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表1</w:t>
      </w:r>
      <w:r>
        <w:rPr>
          <w:rFonts w:hint="eastAsia" w:eastAsia="仿宋_GB2312"/>
          <w:bCs/>
          <w:sz w:val="24"/>
          <w:szCs w:val="24"/>
        </w:rPr>
        <w:t>-2</w:t>
      </w:r>
      <w:r>
        <w:rPr>
          <w:rFonts w:eastAsia="仿宋_GB2312"/>
          <w:bCs/>
          <w:sz w:val="24"/>
          <w:szCs w:val="24"/>
        </w:rPr>
        <w:t xml:space="preserve">             </w:t>
      </w:r>
    </w:p>
    <w:p>
      <w:pPr>
        <w:jc w:val="center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购售电量比较表</w:t>
      </w:r>
    </w:p>
    <w:p>
      <w:pPr>
        <w:ind w:firstLine="480" w:firstLineChars="20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 xml:space="preserve">                                                单位：亿千瓦时、%</w:t>
      </w:r>
    </w:p>
    <w:tbl>
      <w:tblPr>
        <w:tblStyle w:val="5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63"/>
        <w:gridCol w:w="1564"/>
        <w:gridCol w:w="1563"/>
        <w:gridCol w:w="15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项  目</w:t>
            </w:r>
          </w:p>
        </w:tc>
        <w:tc>
          <w:tcPr>
            <w:tcW w:w="1563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2018</w:t>
            </w:r>
            <w:r>
              <w:rPr>
                <w:rFonts w:eastAsia="仿宋_GB2312"/>
                <w:bCs/>
                <w:sz w:val="24"/>
                <w:szCs w:val="24"/>
              </w:rPr>
              <w:t>年</w:t>
            </w:r>
          </w:p>
        </w:tc>
        <w:tc>
          <w:tcPr>
            <w:tcW w:w="156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上年同期</w:t>
            </w:r>
          </w:p>
        </w:tc>
        <w:tc>
          <w:tcPr>
            <w:tcW w:w="1563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增长额</w:t>
            </w:r>
          </w:p>
        </w:tc>
        <w:tc>
          <w:tcPr>
            <w:tcW w:w="156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增长率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购电量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ind w:firstLine="120" w:firstLineChars="5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其中：向电网购电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内部电厂上网电量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供购电量合计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售电量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ind w:firstLine="117" w:firstLineChars="49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其中：向电网售电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线损率</w:t>
            </w: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8" w:lineRule="exact"/>
        <w:ind w:firstLine="480" w:firstLineChars="20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注：供购电量合计=购电量+内部电厂上网电量；</w:t>
      </w:r>
    </w:p>
    <w:p>
      <w:pPr>
        <w:adjustRightInd w:val="0"/>
        <w:snapToGrid w:val="0"/>
        <w:spacing w:line="588" w:lineRule="exact"/>
        <w:ind w:firstLine="960" w:firstLineChars="40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线损率=（供购电量合计-售电量）/供购电量合计。</w:t>
      </w:r>
    </w:p>
    <w:p>
      <w:pPr>
        <w:spacing w:line="588" w:lineRule="exact"/>
        <w:ind w:firstLine="64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二、平均购销差价</w:t>
      </w:r>
    </w:p>
    <w:p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  <w:lang w:val="en-US" w:eastAsia="zh-CN"/>
        </w:rPr>
        <w:t>2018</w:t>
      </w:r>
      <w:r>
        <w:rPr>
          <w:rFonts w:ascii="仿宋_GB2312" w:eastAsia="仿宋_GB2312"/>
          <w:bCs/>
          <w:sz w:val="28"/>
          <w:szCs w:val="28"/>
        </w:rPr>
        <w:t>年，</w:t>
      </w:r>
      <w:r>
        <w:rPr>
          <w:rFonts w:hint="eastAsia" w:ascii="仿宋_GB2312" w:eastAsia="仿宋_GB2312"/>
          <w:bCs/>
          <w:sz w:val="28"/>
          <w:szCs w:val="28"/>
        </w:rPr>
        <w:t>国网新疆电力有限公司</w:t>
      </w:r>
      <w:r>
        <w:rPr>
          <w:rFonts w:ascii="仿宋_GB2312" w:eastAsia="仿宋_GB2312"/>
          <w:bCs/>
          <w:sz w:val="28"/>
          <w:szCs w:val="28"/>
        </w:rPr>
        <w:t>单位售电收入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元／千千瓦时，比上年同期增加（减少）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元/千千瓦时；单位供购电成本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元／千千瓦时，比上年同期增加（减少）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元/千千瓦时；平均购销差价（单位售电收入-单位供购电成本）为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元/千千瓦时，比上年同期增加（减少）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元/千千瓦时；剔除单位线损电价（不含税）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元/千千瓦时，不含线损的输配电环节平均购销差价为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元/千千瓦时，比上年同期增加（减少）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元/千千瓦时。详见表2。</w:t>
      </w:r>
    </w:p>
    <w:p>
      <w:pPr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 xml:space="preserve">表2             </w:t>
      </w:r>
    </w:p>
    <w:p>
      <w:pPr>
        <w:jc w:val="center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平均购销差价比较表</w:t>
      </w:r>
    </w:p>
    <w:p>
      <w:pPr>
        <w:ind w:firstLine="480" w:firstLineChars="20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 xml:space="preserve">                                             单位：元/千千瓦时、%</w:t>
      </w:r>
    </w:p>
    <w:tbl>
      <w:tblPr>
        <w:tblStyle w:val="5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1299"/>
        <w:gridCol w:w="1300"/>
        <w:gridCol w:w="1300"/>
        <w:gridCol w:w="13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23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项  目</w:t>
            </w:r>
          </w:p>
        </w:tc>
        <w:tc>
          <w:tcPr>
            <w:tcW w:w="129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2018</w:t>
            </w:r>
            <w:r>
              <w:rPr>
                <w:rFonts w:eastAsia="仿宋_GB2312"/>
                <w:bCs/>
                <w:sz w:val="24"/>
                <w:szCs w:val="24"/>
              </w:rPr>
              <w:t>年</w:t>
            </w:r>
          </w:p>
        </w:tc>
        <w:tc>
          <w:tcPr>
            <w:tcW w:w="1300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上年同期</w:t>
            </w:r>
          </w:p>
        </w:tc>
        <w:tc>
          <w:tcPr>
            <w:tcW w:w="1300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增长额</w:t>
            </w:r>
          </w:p>
        </w:tc>
        <w:tc>
          <w:tcPr>
            <w:tcW w:w="1300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增长率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23" w:type="dxa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单位售电收入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23" w:type="dxa"/>
          </w:tcPr>
          <w:p>
            <w:pPr>
              <w:ind w:firstLine="240" w:firstLineChars="1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减：单位供购电成本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23" w:type="dxa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平均购销差价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23" w:type="dxa"/>
          </w:tcPr>
          <w:p>
            <w:pPr>
              <w:ind w:firstLine="240" w:firstLineChars="1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减：单位线损电价（不含税）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23" w:type="dxa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平均购销差价（不含线损）</w:t>
            </w:r>
          </w:p>
        </w:tc>
        <w:tc>
          <w:tcPr>
            <w:tcW w:w="1299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说明购销差价变化的原因，包括线损率对购销差价的影响。</w:t>
      </w:r>
    </w:p>
    <w:p>
      <w:pPr>
        <w:spacing w:line="588" w:lineRule="exact"/>
        <w:ind w:firstLine="64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三、平均销售电价（单位售电收入，不含基金及附加）</w:t>
      </w:r>
    </w:p>
    <w:p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  <w:lang w:val="en-US" w:eastAsia="zh-CN"/>
        </w:rPr>
        <w:t>2018</w:t>
      </w:r>
      <w:r>
        <w:rPr>
          <w:rFonts w:ascii="仿宋_GB2312" w:eastAsia="仿宋_GB2312"/>
          <w:bCs/>
          <w:sz w:val="28"/>
          <w:szCs w:val="28"/>
        </w:rPr>
        <w:t>年，</w:t>
      </w:r>
      <w:r>
        <w:rPr>
          <w:rFonts w:hint="eastAsia" w:ascii="仿宋_GB2312" w:eastAsia="仿宋_GB2312"/>
          <w:bCs/>
          <w:sz w:val="28"/>
          <w:szCs w:val="28"/>
        </w:rPr>
        <w:t>国网新疆电力有限公司</w:t>
      </w:r>
      <w:r>
        <w:rPr>
          <w:rFonts w:ascii="仿宋_GB2312" w:eastAsia="仿宋_GB2312"/>
          <w:bCs/>
          <w:sz w:val="28"/>
          <w:szCs w:val="28"/>
        </w:rPr>
        <w:t>平均销售电价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元/千千瓦时，同比增加（减少）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元/千千瓦时，增长（下降）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%，平均销售电价同比增加（减少）的主要原因是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。</w:t>
      </w:r>
    </w:p>
    <w:p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  <w:lang w:val="en-US" w:eastAsia="zh-CN"/>
        </w:rPr>
        <w:t>2018</w:t>
      </w:r>
      <w:r>
        <w:rPr>
          <w:rFonts w:ascii="仿宋_GB2312" w:eastAsia="仿宋_GB2312"/>
          <w:bCs/>
          <w:sz w:val="28"/>
          <w:szCs w:val="28"/>
        </w:rPr>
        <w:t>年，</w:t>
      </w:r>
      <w:r>
        <w:rPr>
          <w:rFonts w:hint="eastAsia" w:ascii="仿宋_GB2312" w:eastAsia="仿宋_GB2312"/>
          <w:bCs/>
          <w:sz w:val="28"/>
          <w:szCs w:val="28"/>
        </w:rPr>
        <w:t>国网新疆电力有限公司</w:t>
      </w:r>
      <w:r>
        <w:rPr>
          <w:rFonts w:ascii="仿宋_GB2312" w:eastAsia="仿宋_GB2312"/>
          <w:bCs/>
          <w:sz w:val="28"/>
          <w:szCs w:val="28"/>
        </w:rPr>
        <w:t>大工业用电平均电价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元/千千瓦时、一般工商业及其他用电平均电价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元/千千瓦时、居民用电平均电价（到户价格，下同）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元/千千瓦时，同比分别增加（减少）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元/千千瓦时，增长（下降）</w:t>
      </w:r>
      <w:r>
        <w:rPr>
          <w:rFonts w:hint="eastAsia" w:ascii="仿宋_GB2312" w:eastAsia="仿宋_GB2312"/>
          <w:bCs/>
          <w:sz w:val="28"/>
          <w:szCs w:val="28"/>
        </w:rPr>
        <w:t>××%</w:t>
      </w:r>
      <w:r>
        <w:rPr>
          <w:rFonts w:ascii="仿宋_GB2312" w:eastAsia="仿宋_GB2312"/>
          <w:bCs/>
          <w:sz w:val="28"/>
          <w:szCs w:val="28"/>
        </w:rPr>
        <w:t>，同比增加（减少）变化较大的主要原因是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。</w:t>
      </w:r>
    </w:p>
    <w:p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分别说明销售电价变化的政策因素（如销售电价调整等）、其他主要因素对销售电价水平的影响。包括两部制电价中基本电价比重的提高，各电压等级间差价拉开及分类合并后对平均销售电价水平的影响，各类销售电价的特点和交叉补贴的详细情况。</w:t>
      </w:r>
    </w:p>
    <w:p>
      <w:pPr>
        <w:spacing w:line="588" w:lineRule="exact"/>
        <w:ind w:firstLine="64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四、政府性基金及附加</w:t>
      </w:r>
    </w:p>
    <w:p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  <w:lang w:val="en-US" w:eastAsia="zh-CN"/>
        </w:rPr>
        <w:t>2018</w:t>
      </w:r>
      <w:r>
        <w:rPr>
          <w:rFonts w:ascii="仿宋_GB2312" w:eastAsia="仿宋_GB2312"/>
          <w:bCs/>
          <w:sz w:val="28"/>
          <w:szCs w:val="28"/>
        </w:rPr>
        <w:t>年，</w:t>
      </w:r>
      <w:r>
        <w:rPr>
          <w:rFonts w:hint="eastAsia" w:ascii="仿宋_GB2312" w:eastAsia="仿宋_GB2312"/>
          <w:bCs/>
          <w:sz w:val="28"/>
          <w:szCs w:val="28"/>
        </w:rPr>
        <w:t>国网新疆电力有限公司</w:t>
      </w:r>
      <w:r>
        <w:rPr>
          <w:rFonts w:ascii="仿宋_GB2312" w:eastAsia="仿宋_GB2312"/>
          <w:bCs/>
          <w:sz w:val="28"/>
          <w:szCs w:val="28"/>
        </w:rPr>
        <w:t>随销售电价征收的政府性基金及附加共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项，分别为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。政府性基金及附加水平为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元/千千瓦时，占销售电价比重为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%。各类基金及附加水平分别为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元/千千瓦时。</w:t>
      </w:r>
    </w:p>
    <w:p>
      <w:pPr>
        <w:spacing w:line="588" w:lineRule="exact"/>
        <w:ind w:firstLine="64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五、输配电成本</w:t>
      </w:r>
    </w:p>
    <w:p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  <w:lang w:val="en-US" w:eastAsia="zh-CN"/>
        </w:rPr>
        <w:t>2018</w:t>
      </w:r>
      <w:r>
        <w:rPr>
          <w:rFonts w:ascii="仿宋_GB2312" w:eastAsia="仿宋_GB2312"/>
          <w:bCs/>
          <w:sz w:val="28"/>
          <w:szCs w:val="28"/>
        </w:rPr>
        <w:t>年，</w:t>
      </w:r>
      <w:r>
        <w:rPr>
          <w:rFonts w:hint="eastAsia" w:ascii="仿宋_GB2312" w:eastAsia="仿宋_GB2312"/>
          <w:bCs/>
          <w:sz w:val="28"/>
          <w:szCs w:val="28"/>
        </w:rPr>
        <w:t>国网新疆电力有限公司</w:t>
      </w:r>
      <w:r>
        <w:rPr>
          <w:rFonts w:ascii="仿宋_GB2312" w:eastAsia="仿宋_GB2312"/>
          <w:bCs/>
          <w:sz w:val="28"/>
          <w:szCs w:val="28"/>
        </w:rPr>
        <w:t>共发生输配电成本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亿元，较上年同期增加（减少）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亿元。各类成本中占比最大的是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，占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%，其它各类成本占比及排序为</w:t>
      </w:r>
      <w:r>
        <w:rPr>
          <w:rFonts w:hint="eastAsia" w:ascii="仿宋_GB2312" w:eastAsia="仿宋_GB2312"/>
          <w:bCs/>
          <w:sz w:val="28"/>
          <w:szCs w:val="28"/>
        </w:rPr>
        <w:t>××</w:t>
      </w:r>
      <w:r>
        <w:rPr>
          <w:rFonts w:ascii="仿宋_GB2312" w:eastAsia="仿宋_GB2312"/>
          <w:bCs/>
          <w:sz w:val="28"/>
          <w:szCs w:val="28"/>
        </w:rPr>
        <w:t>。对同比变动较大的成本项目进行说明。</w:t>
      </w:r>
    </w:p>
    <w:p>
      <w:pPr>
        <w:spacing w:line="588" w:lineRule="exact"/>
        <w:ind w:firstLine="64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六、问题和建议</w:t>
      </w:r>
    </w:p>
    <w:p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详细说明电价政策执行落实过程中采取的有效方法和措施，电价政策对企业经营的影响、对本省经济的作用。并详细说明目前企业在经营过程中面临的困难。结合企业存在的具体问题，提出整改意见；对国家电价和成本政策、会计制度、各类收费等与企业相关的政策提出建议。</w:t>
      </w:r>
    </w:p>
    <w:p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</w:p>
    <w:p>
      <w:pPr>
        <w:spacing w:line="588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填报说明：</w:t>
      </w:r>
      <w:r>
        <w:rPr>
          <w:rFonts w:eastAsia="仿宋_GB2312"/>
          <w:bCs/>
          <w:sz w:val="28"/>
          <w:szCs w:val="28"/>
        </w:rPr>
        <w:t>1.报告中所有价格均含税，成本、收入均不含税。</w:t>
      </w:r>
    </w:p>
    <w:p>
      <w:pPr>
        <w:spacing w:line="588" w:lineRule="exact"/>
        <w:ind w:firstLine="1960" w:firstLineChars="7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28"/>
          <w:szCs w:val="28"/>
        </w:rPr>
        <w:t>2.报告中所有数据请保留两位小数。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37"/>
    <w:rsid w:val="00012E4C"/>
    <w:rsid w:val="00133490"/>
    <w:rsid w:val="001C5BB5"/>
    <w:rsid w:val="00200FB7"/>
    <w:rsid w:val="00234F66"/>
    <w:rsid w:val="002F6A19"/>
    <w:rsid w:val="003315D7"/>
    <w:rsid w:val="003A2018"/>
    <w:rsid w:val="003B6B28"/>
    <w:rsid w:val="005137E7"/>
    <w:rsid w:val="00632E37"/>
    <w:rsid w:val="00680514"/>
    <w:rsid w:val="006D4AA1"/>
    <w:rsid w:val="00700425"/>
    <w:rsid w:val="00773B49"/>
    <w:rsid w:val="00855AB1"/>
    <w:rsid w:val="00921F00"/>
    <w:rsid w:val="00A80DB0"/>
    <w:rsid w:val="00A939C7"/>
    <w:rsid w:val="00AC2471"/>
    <w:rsid w:val="00B01AF3"/>
    <w:rsid w:val="00B237C6"/>
    <w:rsid w:val="00BA0989"/>
    <w:rsid w:val="00C053CD"/>
    <w:rsid w:val="00C503C8"/>
    <w:rsid w:val="00C665CF"/>
    <w:rsid w:val="00E527BF"/>
    <w:rsid w:val="00E57C4A"/>
    <w:rsid w:val="00E7639E"/>
    <w:rsid w:val="00F41DB3"/>
    <w:rsid w:val="00F67A37"/>
    <w:rsid w:val="285A076A"/>
    <w:rsid w:val="3FF41AC3"/>
    <w:rsid w:val="448651DC"/>
    <w:rsid w:val="5C7A0912"/>
    <w:rsid w:val="5EC300BB"/>
    <w:rsid w:val="62641271"/>
    <w:rsid w:val="7F9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314</Words>
  <Characters>1792</Characters>
  <Lines>14</Lines>
  <Paragraphs>4</Paragraphs>
  <TotalTime>0</TotalTime>
  <ScaleCrop>false</ScaleCrop>
  <LinksUpToDate>false</LinksUpToDate>
  <CharactersWithSpaces>2102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2017-01-03T03:31:00Z</dcterms:created>
  <dc:creator>李敏</dc:creator>
  <cp:lastModifiedBy>Administrator</cp:lastModifiedBy>
  <dcterms:modified xsi:type="dcterms:W3CDTF">2021-03-26T04:16:21Z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