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F" w:rsidRDefault="00E41BBF" w:rsidP="003C277B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3C277B" w:rsidRPr="00F87A0A" w:rsidRDefault="003C277B" w:rsidP="003C277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87A0A">
        <w:rPr>
          <w:rFonts w:asciiTheme="majorEastAsia" w:eastAsiaTheme="majorEastAsia" w:hAnsiTheme="majorEastAsia" w:hint="eastAsia"/>
          <w:sz w:val="44"/>
          <w:szCs w:val="44"/>
        </w:rPr>
        <w:t>中石油西部管道公司油气管网设施</w:t>
      </w:r>
    </w:p>
    <w:p w:rsidR="003C277B" w:rsidRPr="00F87A0A" w:rsidRDefault="003C277B" w:rsidP="003C277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87A0A">
        <w:rPr>
          <w:rFonts w:asciiTheme="majorEastAsia" w:eastAsiaTheme="majorEastAsia" w:hAnsiTheme="majorEastAsia" w:hint="eastAsia"/>
          <w:sz w:val="44"/>
          <w:szCs w:val="44"/>
        </w:rPr>
        <w:t>开放相关信息</w:t>
      </w:r>
    </w:p>
    <w:p w:rsidR="00D503AA" w:rsidRDefault="00D503AA" w:rsidP="003C277B">
      <w:pPr>
        <w:jc w:val="center"/>
        <w:rPr>
          <w:rFonts w:ascii="方正小标宋_GBK" w:eastAsia="方正小标宋_GBK"/>
          <w:sz w:val="44"/>
          <w:szCs w:val="44"/>
        </w:rPr>
      </w:pPr>
    </w:p>
    <w:p w:rsidR="003C277B" w:rsidRPr="003C277B" w:rsidRDefault="003C277B" w:rsidP="0045271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C277B">
        <w:rPr>
          <w:rFonts w:ascii="仿宋_GB2312" w:eastAsia="仿宋_GB2312" w:hint="eastAsia"/>
          <w:b/>
          <w:sz w:val="32"/>
          <w:szCs w:val="32"/>
        </w:rPr>
        <w:t>一、油气管网设施基本情况</w:t>
      </w:r>
    </w:p>
    <w:p w:rsid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西部管道公司</w:t>
      </w:r>
      <w:r>
        <w:rPr>
          <w:rFonts w:ascii="仿宋_GB2312" w:eastAsia="仿宋_GB2312" w:hint="eastAsia"/>
          <w:sz w:val="32"/>
          <w:szCs w:val="32"/>
        </w:rPr>
        <w:t>已建成原油管道7条，成品油管道6条，天然气管道11条，详细情况见附表1。</w:t>
      </w:r>
    </w:p>
    <w:p w:rsidR="003C277B" w:rsidRDefault="003C277B" w:rsidP="0045271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C277B">
        <w:rPr>
          <w:rFonts w:ascii="仿宋_GB2312" w:eastAsia="仿宋_GB2312" w:hint="eastAsia"/>
          <w:b/>
          <w:sz w:val="32"/>
          <w:szCs w:val="32"/>
        </w:rPr>
        <w:t>二、允许接入油气管网设施的油气质量标准及依据</w:t>
      </w:r>
    </w:p>
    <w:p w:rsid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（一）质量标准</w:t>
      </w:r>
    </w:p>
    <w:p w:rsid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1、原油质量标准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bookmarkStart w:id="0" w:name="_Toc447122523"/>
      <w:r w:rsidRPr="003C277B">
        <w:rPr>
          <w:rFonts w:ascii="仿宋_GB2312" w:eastAsia="仿宋_GB2312" w:hint="eastAsia"/>
          <w:sz w:val="32"/>
          <w:szCs w:val="32"/>
        </w:rPr>
        <w:t>原油手工取样执行GB/T4756《石油及液体石油产品取样法（手工法）》、原油密度测定执行GB/T1884《石油及液体石油产品密度实验室测定法》、温度测定执行GB/T8927《石油及液体石油产品温度测定法》、原油密度换算执行GB/T1885《石油计量表》、原油含水测定执行GB/T8929《原油水含量测定法（蒸馏法）》。</w:t>
      </w:r>
      <w:bookmarkEnd w:id="0"/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含水率参照SY/T7513《出矿原油技术条件》，交油含水率不大于1.5%。或以购销协议为准。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3C277B">
        <w:rPr>
          <w:rFonts w:ascii="仿宋_GB2312" w:eastAsia="仿宋_GB2312" w:hint="eastAsia"/>
          <w:sz w:val="32"/>
          <w:szCs w:val="32"/>
        </w:rPr>
        <w:t>成品油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车用柴油（Ⅳ）执行GB-19147、车用汽油执行GB-17930，如有新标准，以新标准为准。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油品质</w:t>
      </w:r>
      <w:proofErr w:type="gramStart"/>
      <w:r w:rsidRPr="003C277B">
        <w:rPr>
          <w:rFonts w:ascii="仿宋_GB2312" w:eastAsia="仿宋_GB2312" w:hint="eastAsia"/>
          <w:sz w:val="32"/>
          <w:szCs w:val="32"/>
        </w:rPr>
        <w:t>量必验</w:t>
      </w:r>
      <w:proofErr w:type="gramEnd"/>
      <w:r w:rsidRPr="003C277B">
        <w:rPr>
          <w:rFonts w:ascii="仿宋_GB2312" w:eastAsia="仿宋_GB2312" w:hint="eastAsia"/>
          <w:sz w:val="32"/>
          <w:szCs w:val="32"/>
        </w:rPr>
        <w:t>项目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lastRenderedPageBreak/>
        <w:t>普通柴油：色度、馏程、闪点、冷滤点、机械杂质及水分。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车用柴油：铜片腐蚀、硫含量 、馏程、闪点、冷滤点、机械杂质及水分。</w:t>
      </w:r>
    </w:p>
    <w:p w:rsidR="003C277B" w:rsidRPr="003C277B" w:rsidRDefault="003C277B" w:rsidP="003C277B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车用无铅汽油：烯烃、芳烃、硫含量、腐蚀、馏程、机械杂质及水分（低烯烃汽油应化验烯烃含量）。</w:t>
      </w:r>
    </w:p>
    <w:p w:rsidR="003C277B" w:rsidRDefault="003C277B" w:rsidP="003C277B">
      <w:pPr>
        <w:spacing w:line="360" w:lineRule="auto"/>
        <w:ind w:firstLineChars="200" w:firstLine="640"/>
        <w:outlineLvl w:val="0"/>
        <w:rPr>
          <w:rFonts w:ascii="方正仿宋简体" w:eastAsia="方正仿宋简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3C277B">
        <w:rPr>
          <w:rFonts w:ascii="仿宋_GB2312" w:eastAsia="仿宋_GB2312" w:hint="eastAsia"/>
          <w:sz w:val="32"/>
          <w:szCs w:val="32"/>
        </w:rPr>
        <w:t>天然气</w:t>
      </w:r>
    </w:p>
    <w:p w:rsidR="003C277B" w:rsidRPr="003C277B" w:rsidRDefault="003C277B" w:rsidP="003C27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天然气质量符合中华人民共和国标准GB 17820《天然气》中所规定的一类天然气标准，如在购销协议或管</w:t>
      </w:r>
      <w:proofErr w:type="gramStart"/>
      <w:r w:rsidRPr="003C277B">
        <w:rPr>
          <w:rFonts w:ascii="仿宋_GB2312" w:eastAsia="仿宋_GB2312" w:hint="eastAsia"/>
          <w:sz w:val="32"/>
          <w:szCs w:val="32"/>
        </w:rPr>
        <w:t>输协议</w:t>
      </w:r>
      <w:proofErr w:type="gramEnd"/>
      <w:r w:rsidRPr="003C277B">
        <w:rPr>
          <w:rFonts w:ascii="仿宋_GB2312" w:eastAsia="仿宋_GB2312" w:hint="eastAsia"/>
          <w:sz w:val="32"/>
          <w:szCs w:val="32"/>
        </w:rPr>
        <w:t>中对质量指标有进一步的要求则以协议为准。</w:t>
      </w:r>
    </w:p>
    <w:p w:rsidR="003C277B" w:rsidRPr="003C277B" w:rsidRDefault="003C277B" w:rsidP="003C27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277B">
        <w:rPr>
          <w:rFonts w:ascii="仿宋_GB2312" w:eastAsia="仿宋_GB2312" w:hint="eastAsia"/>
          <w:sz w:val="32"/>
          <w:szCs w:val="32"/>
        </w:rPr>
        <w:t>3.1、煤制天然气品质规格</w:t>
      </w:r>
    </w:p>
    <w:p w:rsidR="003C277B" w:rsidRPr="003C277B" w:rsidRDefault="003C277B" w:rsidP="003C27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DV_M175"/>
      <w:bookmarkStart w:id="2" w:name="quality1"/>
      <w:bookmarkEnd w:id="1"/>
      <w:r w:rsidRPr="003C277B">
        <w:rPr>
          <w:rFonts w:ascii="仿宋_GB2312" w:eastAsia="仿宋_GB2312" w:hint="eastAsia"/>
          <w:sz w:val="32"/>
          <w:szCs w:val="32"/>
        </w:rPr>
        <w:t>煤制天然气的品质其质量最低要求应符合国标GB17820《天然气》一类气的标准，同时应满足承运方煤制气专供管道、西气东输管道对于所输送天然气的技术要求</w:t>
      </w:r>
      <w:bookmarkStart w:id="3" w:name="_DV_C144"/>
      <w:r w:rsidRPr="003C277B">
        <w:rPr>
          <w:rFonts w:ascii="仿宋_GB2312" w:eastAsia="仿宋_GB2312" w:hint="eastAsia"/>
          <w:sz w:val="32"/>
          <w:szCs w:val="32"/>
        </w:rPr>
        <w:t>（“气质规格”）</w:t>
      </w:r>
      <w:bookmarkStart w:id="4" w:name="_DV_M176"/>
      <w:bookmarkEnd w:id="3"/>
      <w:bookmarkEnd w:id="4"/>
      <w:r w:rsidRPr="003C277B">
        <w:rPr>
          <w:rFonts w:ascii="仿宋_GB2312" w:eastAsia="仿宋_GB2312" w:hint="eastAsia"/>
          <w:sz w:val="32"/>
          <w:szCs w:val="32"/>
        </w:rPr>
        <w:t>。具体如下：</w:t>
      </w:r>
    </w:p>
    <w:tbl>
      <w:tblPr>
        <w:tblW w:w="8847" w:type="dxa"/>
        <w:tblInd w:w="108" w:type="dxa"/>
        <w:tblLayout w:type="fixed"/>
        <w:tblLook w:val="0000"/>
      </w:tblPr>
      <w:tblGrid>
        <w:gridCol w:w="851"/>
        <w:gridCol w:w="1496"/>
        <w:gridCol w:w="940"/>
        <w:gridCol w:w="5560"/>
      </w:tblGrid>
      <w:tr w:rsidR="003C277B" w:rsidTr="001D1E0E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ind w:firstLineChars="20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值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C2+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≤2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氮气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二氧化碳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2.0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0.2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mol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2.0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硫化氢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mg/m3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硫醇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mg/m3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mg/m3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高位发热值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MJ/m3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36.0MJ/m3</w:t>
            </w:r>
          </w:p>
        </w:tc>
      </w:tr>
      <w:tr w:rsidR="003C277B" w:rsidTr="001D1E0E">
        <w:trPr>
          <w:trHeight w:hRule="exact"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水露点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夏季（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日）在压力为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4MPa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（表压）的条件下不高于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℃。冬季（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日）在压力为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4MPa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（表压）的条件下不高于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</w:tr>
      <w:tr w:rsidR="003C277B" w:rsidTr="001D1E0E">
        <w:trPr>
          <w:trHeight w:hRule="exact"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烃露点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在压力为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2.7 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>MPa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（表压）的条件下不高于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-5℃</w:t>
            </w:r>
          </w:p>
        </w:tc>
      </w:tr>
      <w:tr w:rsidR="003C277B" w:rsidTr="001D1E0E">
        <w:trPr>
          <w:trHeight w:hRule="exact"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机械杂质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所含机械杂质不应影响天然气正常的输送、储存及使用。所含杂质量应不应高于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 mg/m3,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机械杂质直径应小于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5μm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3C277B" w:rsidTr="001D1E0E">
        <w:trPr>
          <w:trHeight w:hRule="exact"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微量金属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7B" w:rsidRDefault="003C277B" w:rsidP="001D1E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所含微量金属不应影响天然气正常的输送、储存及使用。双方同意：一旦相关标准发布，双方将讨论把微量金属含量纳入气质指标有关问题。</w:t>
            </w:r>
          </w:p>
        </w:tc>
        <w:bookmarkEnd w:id="2"/>
      </w:tr>
    </w:tbl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D1E0E">
        <w:rPr>
          <w:rFonts w:ascii="仿宋_GB2312" w:eastAsia="仿宋_GB2312" w:hint="eastAsia"/>
          <w:sz w:val="32"/>
          <w:szCs w:val="32"/>
        </w:rPr>
        <w:t>计量标准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1、原油动态油量计算执行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GB/T9109.1《原油动态计量—一般原则》；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GB/T9109.4《原油动态计量—用标准体积管检定容积式流量计的操作规定》；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GB/T9109.5《石油和液体石油产品油量计算动态计量》；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2、原油静态油量计算执行GB/T19779《石油和液体石油产品油量计算 静态计量》。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原油密度测定执行GB/T1884《石油及液体石油产品密度实验室测定法》。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原油密度换算执行GB/T1885《石油计量表》。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原油手工取样执行GB/T4756《石油及液体石油产品取样法（手工法）》。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原油含水测定执行GB/T8929《原油水含量测定法（蒸馏法）》。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温度测定执行GB/T8927《石油及液体石油产品温度测定</w:t>
      </w:r>
      <w:r w:rsidRPr="001D1E0E">
        <w:rPr>
          <w:rFonts w:ascii="仿宋_GB2312" w:eastAsia="仿宋_GB2312" w:hint="eastAsia"/>
          <w:sz w:val="32"/>
          <w:szCs w:val="32"/>
        </w:rPr>
        <w:lastRenderedPageBreak/>
        <w:t>法》。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油量计算过程中数据取舍执行GB8170《数值修约规则与极限数值的表示和判定》。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标准体积管按JJG 209《体积管检定规程》用水标法进行检定。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刮板流量计按JJG 667《液体容积式流量计检定规程》进行检定。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3、成品油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成品油计量执行下列标准，如有版本更新，以最新版本为准。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 xml:space="preserve">JJG 1038《科里奥利质量流量计检定规程》   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JJG 209《体积管检定规程》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JJG 168《立式金属罐容量》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JJG 370《工作振动管液体密度计检定规程》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JJG 259《标准金属量器》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GB/T9109.5《石油和液体石油产品油量计算动态计量》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19779《石油和液体石油产品油量计算静态计量》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8170《数值修约规则与极限数值的表示和判定》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1885《石油计量表（产品部分)》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4756《石油和液体石油产品取样法》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1884《原油和液体石油产品密度实验室测定法(密度计法)》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lastRenderedPageBreak/>
        <w:t>GB/T 8927《石油和液体石油产品温度测量法 手工法》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13894《石油和液体石油产品液位测量法（手工法）》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260《石油产品水分测定法》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4、天然气计量执行下列标准，如有版本更新，以最新版本为准。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19205 《天然气标准参比条件》；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18603 《天然气计量系统技术要求》；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18604 《用气体超声流量计测量天然气流量》；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GBT-21391 《涡轮流量计测量天然气流量》；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GBT21446 《用标准孔板流量计测量天然气流量》；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SY/T6659　 《用科里奥利质量流量计测量天然气流量》；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GB/T17747　《天然气压缩因子的计算》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Q/SY 1447 《输气管道计量导则》；</w:t>
      </w:r>
    </w:p>
    <w:p w:rsidR="001D1E0E" w:rsidRPr="001D1E0E" w:rsidRDefault="001D1E0E" w:rsidP="001D1E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GB/T 30500《气体超声流量计使用中检验 声速检验法》</w:t>
      </w:r>
    </w:p>
    <w:p w:rsidR="003C277B" w:rsidRPr="001D1E0E" w:rsidRDefault="001D1E0E" w:rsidP="0045271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D1E0E">
        <w:rPr>
          <w:rFonts w:ascii="仿宋_GB2312" w:eastAsia="仿宋_GB2312" w:hint="eastAsia"/>
          <w:b/>
          <w:sz w:val="32"/>
          <w:szCs w:val="32"/>
        </w:rPr>
        <w:t>三、油气管网设施价格执行依据</w:t>
      </w:r>
    </w:p>
    <w:p w:rsidR="001D1E0E" w:rsidRDefault="001D1E0E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油气管网价格执行依据详情见附表2。</w:t>
      </w:r>
    </w:p>
    <w:p w:rsidR="001D1E0E" w:rsidRPr="00836316" w:rsidRDefault="001D1E0E" w:rsidP="0045271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36316">
        <w:rPr>
          <w:rFonts w:ascii="仿宋_GB2312" w:eastAsia="仿宋_GB2312" w:hint="eastAsia"/>
          <w:b/>
          <w:sz w:val="32"/>
          <w:szCs w:val="32"/>
        </w:rPr>
        <w:t>四、上下游用户申请接入本企业油气管网设施的条件</w:t>
      </w:r>
    </w:p>
    <w:p w:rsidR="001D1E0E" w:rsidRDefault="001B032E" w:rsidP="003C277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</w:t>
      </w:r>
      <w:r w:rsidRPr="001B032E">
        <w:rPr>
          <w:rFonts w:ascii="仿宋_GB2312" w:eastAsia="仿宋_GB2312" w:hint="eastAsia"/>
          <w:sz w:val="32"/>
          <w:szCs w:val="32"/>
        </w:rPr>
        <w:t>中国石油天然气集团公司</w:t>
      </w:r>
      <w:r w:rsidR="00D507A6" w:rsidRPr="001B032E">
        <w:rPr>
          <w:rFonts w:ascii="仿宋_GB2312" w:eastAsia="仿宋_GB2312" w:hint="eastAsia"/>
          <w:sz w:val="32"/>
          <w:szCs w:val="32"/>
        </w:rPr>
        <w:t>油气管网设施公平开放信息公开专栏</w:t>
      </w:r>
      <w:r w:rsidR="00D507A6">
        <w:rPr>
          <w:rFonts w:ascii="仿宋_GB2312" w:eastAsia="仿宋_GB2312" w:hint="eastAsia"/>
          <w:sz w:val="32"/>
          <w:szCs w:val="32"/>
        </w:rPr>
        <w:t>公布要求。用户可登陆网站</w:t>
      </w:r>
      <w:r w:rsidRPr="001B032E">
        <w:rPr>
          <w:rFonts w:ascii="仿宋_GB2312" w:eastAsia="仿宋_GB2312" w:hint="eastAsia"/>
          <w:sz w:val="32"/>
          <w:szCs w:val="32"/>
        </w:rPr>
        <w:t>（</w:t>
      </w:r>
      <w:r w:rsidRPr="001B032E">
        <w:rPr>
          <w:rFonts w:ascii="仿宋_GB2312" w:eastAsia="仿宋_GB2312"/>
          <w:sz w:val="32"/>
          <w:szCs w:val="32"/>
        </w:rPr>
        <w:t>http://www.cnpc.com.cn/cnpc/index.shtml</w:t>
      </w:r>
      <w:r w:rsidRPr="001B032E">
        <w:rPr>
          <w:rFonts w:ascii="仿宋_GB2312" w:eastAsia="仿宋_GB2312" w:hint="eastAsia"/>
          <w:sz w:val="32"/>
          <w:szCs w:val="32"/>
        </w:rPr>
        <w:t>），依次点击业务中心-天然气与管道-油气管网设施公平开放信息公开专栏</w:t>
      </w:r>
      <w:r w:rsidR="00D507A6">
        <w:rPr>
          <w:rFonts w:ascii="仿宋_GB2312" w:eastAsia="仿宋_GB2312" w:hint="eastAsia"/>
          <w:sz w:val="32"/>
          <w:szCs w:val="32"/>
        </w:rPr>
        <w:t>后</w:t>
      </w:r>
      <w:r w:rsidRPr="001B032E">
        <w:rPr>
          <w:rFonts w:ascii="仿宋_GB2312" w:eastAsia="仿宋_GB2312" w:hint="eastAsia"/>
          <w:sz w:val="32"/>
          <w:szCs w:val="32"/>
        </w:rPr>
        <w:t>即可查询。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36316" w:rsidRPr="00836316" w:rsidRDefault="001D1E0E" w:rsidP="0045271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36316">
        <w:rPr>
          <w:rFonts w:ascii="仿宋_GB2312" w:eastAsia="仿宋_GB2312" w:hint="eastAsia"/>
          <w:b/>
          <w:sz w:val="32"/>
          <w:szCs w:val="32"/>
        </w:rPr>
        <w:lastRenderedPageBreak/>
        <w:t>五、本企业受理接入申请的部门、方式、流程及具体办理时限</w:t>
      </w:r>
    </w:p>
    <w:p w:rsidR="00D507A6" w:rsidRDefault="00D507A6" w:rsidP="001D1E0E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</w:t>
      </w:r>
      <w:r w:rsidRPr="001B032E">
        <w:rPr>
          <w:rFonts w:ascii="仿宋_GB2312" w:eastAsia="仿宋_GB2312" w:hint="eastAsia"/>
          <w:sz w:val="32"/>
          <w:szCs w:val="32"/>
        </w:rPr>
        <w:t>中国石油天然气集团公司油气管网设施公平开放信息公开专栏</w:t>
      </w:r>
      <w:r>
        <w:rPr>
          <w:rFonts w:ascii="仿宋_GB2312" w:eastAsia="仿宋_GB2312" w:hint="eastAsia"/>
          <w:sz w:val="32"/>
          <w:szCs w:val="32"/>
        </w:rPr>
        <w:t>公布要求。</w:t>
      </w: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1D1E0E">
        <w:rPr>
          <w:rFonts w:ascii="仿宋_GB2312" w:eastAsia="仿宋_GB2312" w:hint="eastAsia"/>
          <w:sz w:val="32"/>
          <w:szCs w:val="32"/>
        </w:rPr>
        <w:t>接入申请部门和联系人详情见附表3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Pr="00D507A6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DD6126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Pr="00DD6126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D1E0E" w:rsidRDefault="001D1E0E" w:rsidP="001D1E0E">
      <w:pPr>
        <w:ind w:firstLineChars="250" w:firstLine="800"/>
        <w:rPr>
          <w:rFonts w:ascii="仿宋_GB2312" w:eastAsia="仿宋_GB2312"/>
          <w:sz w:val="32"/>
          <w:szCs w:val="32"/>
        </w:rPr>
        <w:sectPr w:rsidR="001D1E0E" w:rsidSect="00C6286F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CC52A7" w:rsidRPr="00CC52A7" w:rsidRDefault="00CC52A7" w:rsidP="00CC52A7">
      <w:pPr>
        <w:rPr>
          <w:rFonts w:ascii="黑体" w:eastAsia="黑体" w:hAnsi="黑体"/>
          <w:sz w:val="32"/>
          <w:szCs w:val="32"/>
        </w:rPr>
      </w:pPr>
      <w:r w:rsidRPr="00CC52A7"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tbl>
      <w:tblPr>
        <w:tblW w:w="0" w:type="auto"/>
        <w:tblInd w:w="88" w:type="dxa"/>
        <w:tblLayout w:type="fixed"/>
        <w:tblLook w:val="0000"/>
      </w:tblPr>
      <w:tblGrid>
        <w:gridCol w:w="2005"/>
        <w:gridCol w:w="986"/>
        <w:gridCol w:w="3757"/>
        <w:gridCol w:w="1636"/>
        <w:gridCol w:w="2409"/>
        <w:gridCol w:w="2402"/>
      </w:tblGrid>
      <w:tr w:rsidR="00CC52A7" w:rsidTr="00D06C55">
        <w:trPr>
          <w:trHeight w:val="279"/>
        </w:trPr>
        <w:tc>
          <w:tcPr>
            <w:tcW w:w="131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2A7" w:rsidRPr="00467F8D" w:rsidRDefault="00CC52A7" w:rsidP="00CC52A7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="00467F8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467F8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西部管道公司油气管网设施基本情况表</w:t>
            </w:r>
          </w:p>
        </w:tc>
      </w:tr>
      <w:tr w:rsidR="00CC52A7" w:rsidTr="00D06C55">
        <w:trPr>
          <w:trHeight w:val="3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走向/位置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长度（公里）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投产时间/拟投产时间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bCs/>
                <w:kern w:val="0"/>
                <w:sz w:val="20"/>
                <w:szCs w:val="20"/>
              </w:rPr>
              <w:t>能力（万吨,万方/天）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kern w:val="0"/>
                <w:sz w:val="20"/>
                <w:szCs w:val="20"/>
              </w:rPr>
              <w:t>（一）原油管道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轮库复线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新疆巴州轮南镇--新疆库尔勒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161.50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1996-09-01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1.43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王化线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新疆王家沟油库-新疆乌鲁木齐石化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56.60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2012-12-08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1.71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独乌线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新疆独山子-新疆乌鲁木齐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231.00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2012-12-08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2.86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库</w:t>
            </w: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鄯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新疆库尔勒--新疆鄯善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476.00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1997-06-01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1.26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阿独线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新疆阿拉山口-新疆独山子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246.00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2006-07-01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5.71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乌</w:t>
            </w: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鄯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支干线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新疆王家沟油库-新疆鄯善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296.00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2007-06-15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1.74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鄯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兰原油干线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新疆鄯善--甘肃兰州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1562.00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2007-06-15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5.71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kern w:val="0"/>
                <w:sz w:val="20"/>
                <w:szCs w:val="20"/>
              </w:rPr>
              <w:t>（二）天然气管道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西一线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新疆轮南-1924#桩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1923.50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2004-10-28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4857.14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西二线西段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新疆霍尔果斯--67</w:t>
            </w: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#阀室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以东3Km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2325.00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2009-12-18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8800.00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西三线西段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新疆霍尔果斯－宁夏中卫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2453.00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2013-06-15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4500.00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轮库线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新疆巴州轮南镇--新疆库尔勒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192.40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1998-05-01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514.29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鄯乌线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新疆鄯善--新疆乌鲁木齐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301.60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1996-09-15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171.43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北疆管网联络线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西二线昌吉分输站-新疆王家沟末站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2009-12-08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857.14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伊霍支干线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新疆伊宁-新疆霍尔果斯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63.30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2013-07-18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8800.00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轮吐支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干线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新疆轮南-西二线吐鲁番分输压气站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526.00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2012-11-18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3428.57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涩宁兰线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青海涩北--甘肃兰州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931.30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2001-08-20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942.86</w:t>
            </w:r>
          </w:p>
        </w:tc>
      </w:tr>
      <w:tr w:rsidR="00CC52A7" w:rsidTr="00D06C55">
        <w:trPr>
          <w:trHeight w:val="25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涩宁兰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复线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青海涩北--甘肃兰州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921.40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2009-08-15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971.43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兰银线甘肃段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涩宁兰线</w:t>
            </w:r>
            <w:proofErr w:type="gramEnd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河口站—K190+800m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191.00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2007-07-15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1005.71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b/>
                <w:kern w:val="0"/>
                <w:sz w:val="20"/>
                <w:szCs w:val="20"/>
              </w:rPr>
              <w:t>（三）成品油管道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化王复线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乌石化—新疆王家沟油库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56.63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2014-08-10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1.29</w:t>
            </w:r>
          </w:p>
        </w:tc>
      </w:tr>
      <w:tr w:rsidR="00CC52A7" w:rsidTr="00D06C55">
        <w:trPr>
          <w:trHeight w:val="26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化王线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乌石化--新疆王家沟油库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39.86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2006-06-15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0.57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克乌复线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新疆克拉玛依--新疆王家沟油库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298.00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2009-11-10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1.14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lastRenderedPageBreak/>
              <w:t>乌兰线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新疆王家沟油库--甘肃兰州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1858.00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2006-06-15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2.43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克乌线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新疆克拉玛依--新疆王家沟油库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294.00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1996-10-08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0.46</w:t>
            </w:r>
          </w:p>
        </w:tc>
      </w:tr>
      <w:tr w:rsidR="00CC52A7" w:rsidTr="00D06C55">
        <w:trPr>
          <w:trHeight w:val="18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独乌线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已建成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新疆独山子--新疆王家沟油库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232.00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2004-11-08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A7" w:rsidRDefault="00CC52A7" w:rsidP="00D06C55">
            <w:pPr>
              <w:widowControl/>
              <w:spacing w:line="260" w:lineRule="exact"/>
              <w:rPr>
                <w:rFonts w:ascii="宋体" w:hAnsi="宋体" w:cs="Arial Unicode MS"/>
                <w:kern w:val="0"/>
                <w:sz w:val="20"/>
                <w:szCs w:val="20"/>
              </w:rPr>
            </w:pPr>
            <w:r>
              <w:rPr>
                <w:rFonts w:ascii="宋体" w:hAnsi="宋体" w:cs="Arial Unicode MS" w:hint="eastAsia"/>
                <w:kern w:val="0"/>
                <w:sz w:val="20"/>
                <w:szCs w:val="20"/>
              </w:rPr>
              <w:t>1.43</w:t>
            </w:r>
          </w:p>
        </w:tc>
      </w:tr>
    </w:tbl>
    <w:p w:rsidR="001D1E0E" w:rsidRDefault="001D1E0E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方正小标宋简体" w:eastAsia="方正小标宋简体"/>
          <w:sz w:val="44"/>
          <w:szCs w:val="44"/>
        </w:rPr>
      </w:pPr>
    </w:p>
    <w:p w:rsidR="00467F8D" w:rsidRDefault="00467F8D" w:rsidP="001D1E0E">
      <w:pPr>
        <w:rPr>
          <w:rFonts w:ascii="黑体" w:eastAsia="黑体" w:hAnsi="黑体"/>
          <w:sz w:val="32"/>
          <w:szCs w:val="32"/>
        </w:rPr>
      </w:pPr>
      <w:r w:rsidRPr="00467F8D"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:rsidR="00467F8D" w:rsidRPr="00467F8D" w:rsidRDefault="00467F8D" w:rsidP="00467F8D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67F8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油气管网价格执行依据</w:t>
      </w:r>
    </w:p>
    <w:tbl>
      <w:tblPr>
        <w:tblW w:w="14643" w:type="dxa"/>
        <w:tblInd w:w="88" w:type="dxa"/>
        <w:tblLayout w:type="fixed"/>
        <w:tblLook w:val="0000"/>
      </w:tblPr>
      <w:tblGrid>
        <w:gridCol w:w="716"/>
        <w:gridCol w:w="968"/>
        <w:gridCol w:w="1052"/>
        <w:gridCol w:w="1011"/>
        <w:gridCol w:w="1305"/>
        <w:gridCol w:w="1347"/>
        <w:gridCol w:w="5832"/>
        <w:gridCol w:w="2412"/>
      </w:tblGrid>
      <w:tr w:rsidR="00467F8D" w:rsidTr="00467F8D">
        <w:trPr>
          <w:trHeight w:val="4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管线名称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价格（含税）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文件名称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原油管道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鄯兰线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0.140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元/吨·公里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国家发展改革委关于西部原油、成品油管道运输价格的批复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〔2006〕2270号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130.620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转发集团公司“关于塔里木原油外输管线运价问题的答复”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管道财字〔1999〕5号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阿独线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0.080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元/吨·公里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国家发展改革委关于阿拉山口至独山子原油管道运输价格的批复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〔2006〕990号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成品油管道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乌兰线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0.145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元/吨·公里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国家发展改革委关于西部原油、成品油管道运输价格的批复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〔2006〕2270号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北疆成品油管网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0.157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元/吨·公里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关于克乌管线和独乌管线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油财字〔2006〕53号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天然气管道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西一线西段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0.280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关于调整相关天然气管道管输费税差的通知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油气函〔2013〕56号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西二线西段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0.176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关于调整相关天然气管道管输费税差的通知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油气函〔2013〕56号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0.342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关于调整相关天然气管道管输费税差的通知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油气函〔2013〕56号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西三线西段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关于忠武线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反输、西气东输三线向新疆供气管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输内部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结算价格的通知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油财〔2013〕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0.330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关于西气东输三线向甘肃供气管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输内部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结算价格的通知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油财〔2014〕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涩宁兰线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0.230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关于调整相关天然气管道管输费税差的通知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油气函〔2013〕56号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鄯乌线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0.170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国家计委关于吐哈油田天然气、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-乌管线输气费、净化费定价问题的批复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计价管〔1996〕2454号</w:t>
            </w:r>
          </w:p>
        </w:tc>
      </w:tr>
      <w:tr w:rsidR="00467F8D" w:rsidTr="00467F8D">
        <w:trPr>
          <w:trHeight w:val="4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轮库线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0.120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元/方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关于核定塔中-轮南和轮南-库尔勒天然气管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的通知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8D" w:rsidRDefault="00467F8D" w:rsidP="00D06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计价格〔2002〕1692号</w:t>
            </w:r>
          </w:p>
        </w:tc>
      </w:tr>
    </w:tbl>
    <w:p w:rsidR="00467F8D" w:rsidRPr="001D1E0E" w:rsidRDefault="00467F8D" w:rsidP="001D1E0E">
      <w:pPr>
        <w:rPr>
          <w:rFonts w:ascii="方正小标宋简体" w:eastAsia="方正小标宋简体"/>
          <w:sz w:val="44"/>
          <w:szCs w:val="44"/>
        </w:rPr>
        <w:sectPr w:rsidR="00467F8D" w:rsidRPr="001D1E0E" w:rsidSect="001D1E0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D1E0E" w:rsidRPr="00467F8D" w:rsidRDefault="00467F8D" w:rsidP="00467F8D">
      <w:pPr>
        <w:rPr>
          <w:rFonts w:ascii="黑体" w:eastAsia="黑体" w:hAnsi="黑体"/>
          <w:sz w:val="32"/>
          <w:szCs w:val="32"/>
        </w:rPr>
      </w:pPr>
      <w:r w:rsidRPr="00467F8D">
        <w:rPr>
          <w:rFonts w:ascii="黑体" w:eastAsia="黑体" w:hAnsi="黑体" w:hint="eastAsia"/>
          <w:sz w:val="32"/>
          <w:szCs w:val="32"/>
        </w:rPr>
        <w:lastRenderedPageBreak/>
        <w:t>附表3</w:t>
      </w:r>
    </w:p>
    <w:p w:rsidR="00467F8D" w:rsidRPr="00467F8D" w:rsidRDefault="00467F8D" w:rsidP="00467F8D">
      <w:pPr>
        <w:jc w:val="center"/>
        <w:rPr>
          <w:rFonts w:ascii="仿宋_GB2312" w:eastAsia="仿宋_GB2312"/>
          <w:sz w:val="32"/>
          <w:szCs w:val="32"/>
        </w:rPr>
      </w:pPr>
      <w:r w:rsidRPr="00467F8D">
        <w:rPr>
          <w:rFonts w:ascii="仿宋_GB2312" w:eastAsia="仿宋_GB2312" w:hint="eastAsia"/>
          <w:sz w:val="32"/>
          <w:szCs w:val="32"/>
        </w:rPr>
        <w:t>西部管道公司油气管网设施开放联系人员表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2169"/>
        <w:gridCol w:w="3183"/>
        <w:gridCol w:w="2320"/>
        <w:gridCol w:w="2936"/>
        <w:gridCol w:w="2230"/>
      </w:tblGrid>
      <w:tr w:rsidR="00467F8D" w:rsidRPr="00467F8D" w:rsidTr="00D06C55">
        <w:trPr>
          <w:trHeight w:val="759"/>
        </w:trPr>
        <w:tc>
          <w:tcPr>
            <w:tcW w:w="1384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34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331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67F8D" w:rsidRPr="00467F8D" w:rsidTr="00D06C55">
        <w:trPr>
          <w:trHeight w:val="674"/>
        </w:trPr>
        <w:tc>
          <w:tcPr>
            <w:tcW w:w="1384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张杰</w:t>
            </w:r>
          </w:p>
        </w:tc>
        <w:tc>
          <w:tcPr>
            <w:tcW w:w="334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规划计划处</w:t>
            </w:r>
          </w:p>
        </w:tc>
        <w:tc>
          <w:tcPr>
            <w:tcW w:w="2331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0991-7561206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18599201935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Zhangjie7036@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petrochina.com.cn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牵头部门</w:t>
            </w:r>
          </w:p>
        </w:tc>
      </w:tr>
      <w:tr w:rsidR="00467F8D" w:rsidRPr="00467F8D" w:rsidTr="00D06C55">
        <w:trPr>
          <w:trHeight w:val="556"/>
        </w:trPr>
        <w:tc>
          <w:tcPr>
            <w:tcW w:w="1384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南玲玲</w:t>
            </w:r>
          </w:p>
        </w:tc>
        <w:tc>
          <w:tcPr>
            <w:tcW w:w="334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生产运行处</w:t>
            </w:r>
          </w:p>
        </w:tc>
        <w:tc>
          <w:tcPr>
            <w:tcW w:w="2331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0991-7561181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15699183087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467F8D">
              <w:rPr>
                <w:rFonts w:ascii="仿宋_GB2312" w:eastAsia="仿宋_GB2312" w:hint="eastAsia"/>
                <w:sz w:val="32"/>
                <w:szCs w:val="32"/>
              </w:rPr>
              <w:t>Nanll-wopc</w:t>
            </w:r>
            <w:proofErr w:type="spellEnd"/>
            <w:r w:rsidRPr="00467F8D">
              <w:rPr>
                <w:rFonts w:ascii="仿宋_GB2312" w:eastAsia="仿宋_GB2312" w:hint="eastAsia"/>
                <w:sz w:val="32"/>
                <w:szCs w:val="32"/>
              </w:rPr>
              <w:t>@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petrochina.com.cn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7F8D" w:rsidRPr="00467F8D" w:rsidTr="00D06C55">
        <w:trPr>
          <w:trHeight w:val="635"/>
        </w:trPr>
        <w:tc>
          <w:tcPr>
            <w:tcW w:w="1384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张瑞</w:t>
            </w:r>
          </w:p>
        </w:tc>
        <w:tc>
          <w:tcPr>
            <w:tcW w:w="334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财务资产处</w:t>
            </w:r>
          </w:p>
        </w:tc>
        <w:tc>
          <w:tcPr>
            <w:tcW w:w="2331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0991-7561274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13999811751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467F8D">
              <w:rPr>
                <w:rFonts w:ascii="仿宋_GB2312" w:eastAsia="仿宋_GB2312" w:hint="eastAsia"/>
                <w:sz w:val="32"/>
                <w:szCs w:val="32"/>
              </w:rPr>
              <w:t>gdzhangrui</w:t>
            </w:r>
            <w:proofErr w:type="spellEnd"/>
            <w:r w:rsidRPr="00467F8D">
              <w:rPr>
                <w:rFonts w:ascii="仿宋_GB2312" w:eastAsia="仿宋_GB2312" w:hint="eastAsia"/>
                <w:sz w:val="32"/>
                <w:szCs w:val="32"/>
              </w:rPr>
              <w:t>@</w:t>
            </w:r>
          </w:p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67F8D">
              <w:rPr>
                <w:rFonts w:ascii="仿宋_GB2312" w:eastAsia="仿宋_GB2312" w:hint="eastAsia"/>
                <w:sz w:val="32"/>
                <w:szCs w:val="32"/>
              </w:rPr>
              <w:t>petrochina.com.cn</w:t>
            </w:r>
          </w:p>
        </w:tc>
        <w:tc>
          <w:tcPr>
            <w:tcW w:w="2333" w:type="dxa"/>
            <w:vAlign w:val="center"/>
          </w:tcPr>
          <w:p w:rsidR="00467F8D" w:rsidRPr="00467F8D" w:rsidRDefault="00467F8D" w:rsidP="00D06C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67F8D" w:rsidRPr="001D1E0E" w:rsidRDefault="00467F8D" w:rsidP="00467F8D">
      <w:pPr>
        <w:rPr>
          <w:rFonts w:ascii="仿宋_GB2312" w:eastAsia="仿宋_GB2312"/>
          <w:sz w:val="32"/>
          <w:szCs w:val="32"/>
        </w:rPr>
      </w:pPr>
    </w:p>
    <w:sectPr w:rsidR="00467F8D" w:rsidRPr="001D1E0E" w:rsidSect="00467F8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F5" w:rsidRDefault="00E122F5" w:rsidP="003C277B">
      <w:r>
        <w:separator/>
      </w:r>
    </w:p>
  </w:endnote>
  <w:endnote w:type="continuationSeparator" w:id="0">
    <w:p w:rsidR="00E122F5" w:rsidRDefault="00E122F5" w:rsidP="003C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634478"/>
      <w:docPartObj>
        <w:docPartGallery w:val="Page Numbers (Bottom of Page)"/>
        <w:docPartUnique/>
      </w:docPartObj>
    </w:sdtPr>
    <w:sdtContent>
      <w:p w:rsidR="00C6286F" w:rsidRDefault="00C268EF">
        <w:pPr>
          <w:pStyle w:val="a4"/>
          <w:jc w:val="center"/>
        </w:pPr>
        <w:fldSimple w:instr=" PAGE   \* MERGEFORMAT ">
          <w:r w:rsidR="00890CFA" w:rsidRPr="00890CFA">
            <w:rPr>
              <w:noProof/>
              <w:lang w:val="zh-CN"/>
            </w:rPr>
            <w:t>7</w:t>
          </w:r>
        </w:fldSimple>
      </w:p>
    </w:sdtContent>
  </w:sdt>
  <w:p w:rsidR="00C6286F" w:rsidRDefault="00C628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F5" w:rsidRDefault="00E122F5" w:rsidP="003C277B">
      <w:r>
        <w:separator/>
      </w:r>
    </w:p>
  </w:footnote>
  <w:footnote w:type="continuationSeparator" w:id="0">
    <w:p w:rsidR="00E122F5" w:rsidRDefault="00E122F5" w:rsidP="003C2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77B"/>
    <w:rsid w:val="00113E31"/>
    <w:rsid w:val="001B032E"/>
    <w:rsid w:val="001D1E0E"/>
    <w:rsid w:val="002767BA"/>
    <w:rsid w:val="003C277B"/>
    <w:rsid w:val="003D5FD9"/>
    <w:rsid w:val="0045271E"/>
    <w:rsid w:val="00467F8D"/>
    <w:rsid w:val="00497C35"/>
    <w:rsid w:val="0053315B"/>
    <w:rsid w:val="00836316"/>
    <w:rsid w:val="00890CFA"/>
    <w:rsid w:val="008A3874"/>
    <w:rsid w:val="00990DBD"/>
    <w:rsid w:val="00991C78"/>
    <w:rsid w:val="00A73CA8"/>
    <w:rsid w:val="00AA2076"/>
    <w:rsid w:val="00AD489C"/>
    <w:rsid w:val="00B31126"/>
    <w:rsid w:val="00B97987"/>
    <w:rsid w:val="00C268EF"/>
    <w:rsid w:val="00C6286F"/>
    <w:rsid w:val="00CC52A7"/>
    <w:rsid w:val="00D35F0C"/>
    <w:rsid w:val="00D503AA"/>
    <w:rsid w:val="00D507A6"/>
    <w:rsid w:val="00DC6CDE"/>
    <w:rsid w:val="00DD6126"/>
    <w:rsid w:val="00E122F5"/>
    <w:rsid w:val="00E41BBF"/>
    <w:rsid w:val="00EA19FA"/>
    <w:rsid w:val="00F8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733</Words>
  <Characters>4180</Characters>
  <Application>Microsoft Office Word</Application>
  <DocSecurity>0</DocSecurity>
  <Lines>34</Lines>
  <Paragraphs>9</Paragraphs>
  <ScaleCrop>false</ScaleCrop>
  <Company>china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nea</cp:lastModifiedBy>
  <cp:revision>12</cp:revision>
  <dcterms:created xsi:type="dcterms:W3CDTF">2017-05-08T08:19:00Z</dcterms:created>
  <dcterms:modified xsi:type="dcterms:W3CDTF">2017-05-09T08:51:00Z</dcterms:modified>
</cp:coreProperties>
</file>