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D6120" w:rsidRDefault="00245270">
      <w:pPr>
        <w:spacing w:line="1210" w:lineRule="exact"/>
        <w:ind w:rightChars="191" w:right="458"/>
        <w:jc w:val="center"/>
        <w:rPr>
          <w:rFonts w:ascii="隶书" w:eastAsia="隶书" w:hAnsi="隶书" w:cs="隶书"/>
          <w:color w:val="00007F"/>
          <w:sz w:val="84"/>
          <w:szCs w:val="84"/>
        </w:rPr>
      </w:pPr>
      <w:r>
        <w:rPr>
          <w:rFonts w:ascii="隶书" w:eastAsia="隶书" w:hAnsi="隶书" w:cs="隶书" w:hint="eastAsia"/>
          <w:color w:val="00007F"/>
          <w:sz w:val="84"/>
          <w:szCs w:val="84"/>
        </w:rPr>
        <w:t>国家能源局新疆监管办公室部门决算</w:t>
      </w:r>
    </w:p>
    <w:p w:rsidR="000D6120" w:rsidRDefault="00245270">
      <w:pPr>
        <w:spacing w:line="1210" w:lineRule="exact"/>
        <w:jc w:val="center"/>
        <w:rPr>
          <w:rFonts w:ascii="隶书" w:eastAsia="隶书"/>
          <w:color w:val="000000"/>
          <w:sz w:val="102"/>
          <w:szCs w:val="102"/>
        </w:rPr>
        <w:sectPr w:rsidR="000D6120">
          <w:footerReference w:type="default" r:id="rId9"/>
          <w:pgSz w:w="11900" w:h="16840"/>
          <w:pgMar w:top="7858" w:right="100" w:bottom="0" w:left="993" w:header="720" w:footer="720" w:gutter="0"/>
          <w:pgNumType w:start="4"/>
          <w:cols w:space="720"/>
          <w:docGrid w:linePitch="1"/>
        </w:sectPr>
      </w:pPr>
      <w:r>
        <w:rPr>
          <w:rFonts w:ascii="隶书" w:eastAsia="隶书" w:hAnsi="隶书" w:cs="隶书" w:hint="eastAsia"/>
          <w:color w:val="00007F"/>
          <w:sz w:val="72"/>
          <w:szCs w:val="72"/>
        </w:rPr>
        <w:t>（</w:t>
      </w:r>
      <w:r w:rsidR="00EB7118">
        <w:rPr>
          <w:rFonts w:ascii="隶书" w:eastAsia="隶书" w:hAnsi="隶书" w:cs="隶书" w:hint="eastAsia"/>
          <w:color w:val="00007F"/>
          <w:sz w:val="72"/>
          <w:szCs w:val="72"/>
        </w:rPr>
        <w:t>2021</w:t>
      </w:r>
      <w:r>
        <w:rPr>
          <w:rFonts w:ascii="隶书" w:eastAsia="隶书" w:hAnsi="隶书" w:cs="隶书" w:hint="eastAsia"/>
          <w:color w:val="00007F"/>
          <w:sz w:val="72"/>
          <w:szCs w:val="72"/>
        </w:rPr>
        <w:t>年度）</w:t>
      </w:r>
    </w:p>
    <w:p w:rsidR="000D6120" w:rsidRDefault="00245270">
      <w:pPr>
        <w:spacing w:before="787" w:line="560" w:lineRule="exact"/>
        <w:ind w:left="3550"/>
        <w:rPr>
          <w:rFonts w:ascii="黑体" w:eastAsia="黑体" w:hAnsi="黑体" w:cs="黑体"/>
          <w:color w:val="000000"/>
          <w:sz w:val="56"/>
          <w:szCs w:val="22"/>
        </w:rPr>
      </w:pPr>
      <w:r>
        <w:rPr>
          <w:rFonts w:ascii="黑体" w:eastAsia="黑体" w:hAnsi="黑体" w:cs="黑体" w:hint="eastAsia"/>
          <w:color w:val="000000"/>
          <w:sz w:val="56"/>
          <w:szCs w:val="22"/>
        </w:rPr>
        <w:lastRenderedPageBreak/>
        <w:t>目录</w:t>
      </w:r>
    </w:p>
    <w:p w:rsidR="000D6120" w:rsidRDefault="00245270">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第一部分 国家能源局新疆监管办公室概况</w:t>
      </w:r>
    </w:p>
    <w:p w:rsidR="000D6120" w:rsidRDefault="00245270">
      <w:pPr>
        <w:widowControl w:val="0"/>
        <w:autoSpaceDE w:val="0"/>
        <w:autoSpaceDN w:val="0"/>
        <w:adjustRightInd w:val="0"/>
        <w:snapToGrid w:val="0"/>
        <w:spacing w:before="240" w:line="560" w:lineRule="exact"/>
        <w:ind w:firstLineChars="225" w:firstLine="720"/>
        <w:rPr>
          <w:rFonts w:ascii="仿宋" w:eastAsia="仿宋" w:hAnsi="仿宋" w:cs="仿宋_GB2312"/>
          <w:sz w:val="32"/>
          <w:szCs w:val="32"/>
        </w:rPr>
      </w:pPr>
      <w:r>
        <w:rPr>
          <w:rFonts w:ascii="仿宋" w:eastAsia="仿宋" w:hAnsi="仿宋" w:cs="仿宋_GB2312" w:hint="eastAsia"/>
          <w:sz w:val="32"/>
          <w:szCs w:val="32"/>
        </w:rPr>
        <w:t>一、单位职责</w:t>
      </w:r>
    </w:p>
    <w:p w:rsidR="000D6120" w:rsidRDefault="00245270">
      <w:pPr>
        <w:widowControl w:val="0"/>
        <w:autoSpaceDE w:val="0"/>
        <w:autoSpaceDN w:val="0"/>
        <w:adjustRightInd w:val="0"/>
        <w:snapToGrid w:val="0"/>
        <w:spacing w:before="240" w:line="560" w:lineRule="exact"/>
        <w:ind w:firstLineChars="225" w:firstLine="720"/>
        <w:rPr>
          <w:rFonts w:ascii="仿宋" w:eastAsia="仿宋" w:hAnsi="仿宋" w:cs="仿宋_GB2312"/>
          <w:sz w:val="32"/>
          <w:szCs w:val="32"/>
        </w:rPr>
      </w:pPr>
      <w:r>
        <w:rPr>
          <w:rFonts w:ascii="仿宋" w:eastAsia="仿宋" w:hAnsi="仿宋" w:cs="仿宋_GB2312" w:hint="eastAsia"/>
          <w:sz w:val="32"/>
          <w:szCs w:val="32"/>
        </w:rPr>
        <w:t xml:space="preserve">二、机构设置 </w:t>
      </w:r>
    </w:p>
    <w:p w:rsidR="000D6120" w:rsidRDefault="00245270">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第二部分</w:t>
      </w:r>
      <w:r>
        <w:rPr>
          <w:rFonts w:ascii="黑体" w:eastAsia="黑体" w:cs="黑体"/>
          <w:sz w:val="32"/>
          <w:szCs w:val="32"/>
        </w:rPr>
        <w:t xml:space="preserve"> 20</w:t>
      </w:r>
      <w:r w:rsidR="00EB7118">
        <w:rPr>
          <w:rFonts w:ascii="黑体" w:eastAsia="黑体" w:cs="黑体" w:hint="eastAsia"/>
          <w:sz w:val="32"/>
          <w:szCs w:val="32"/>
        </w:rPr>
        <w:t>21</w:t>
      </w:r>
      <w:r>
        <w:rPr>
          <w:rFonts w:ascii="黑体" w:eastAsia="黑体" w:cs="黑体" w:hint="eastAsia"/>
          <w:sz w:val="32"/>
          <w:szCs w:val="32"/>
        </w:rPr>
        <w:t>年度决算表</w:t>
      </w:r>
    </w:p>
    <w:p w:rsidR="000D6120" w:rsidRDefault="00245270">
      <w:pPr>
        <w:widowControl w:val="0"/>
        <w:tabs>
          <w:tab w:val="left" w:pos="8647"/>
        </w:tabs>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一、收入支出决算总表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二、收入决算表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三、支出决算表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四、财政拨款收入支出决算总表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五、一般公共预算财政拨款支出决算表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六、一般公共预算财政拨款基本支出决算明细表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七、政府性基金预算财政拨款收入支出决算表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八、国有资本经营预算财政拨款支出决算表</w:t>
      </w:r>
    </w:p>
    <w:p w:rsidR="000D6120" w:rsidRDefault="00245270">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九、财政拨款</w:t>
      </w:r>
      <w:r>
        <w:rPr>
          <w:rFonts w:ascii="仿宋" w:eastAsia="仿宋" w:hAnsi="仿宋" w:cs="仿宋_GB2312"/>
          <w:sz w:val="32"/>
          <w:szCs w:val="32"/>
        </w:rPr>
        <w:t>“</w:t>
      </w:r>
      <w:r>
        <w:rPr>
          <w:rFonts w:ascii="仿宋" w:eastAsia="仿宋" w:hAnsi="仿宋" w:cs="仿宋_GB2312" w:hint="eastAsia"/>
          <w:sz w:val="32"/>
          <w:szCs w:val="32"/>
        </w:rPr>
        <w:t>三公</w:t>
      </w:r>
      <w:r>
        <w:rPr>
          <w:rFonts w:ascii="仿宋" w:eastAsia="仿宋" w:hAnsi="仿宋" w:cs="仿宋_GB2312"/>
          <w:sz w:val="32"/>
          <w:szCs w:val="32"/>
        </w:rPr>
        <w:t>”</w:t>
      </w:r>
      <w:r>
        <w:rPr>
          <w:rFonts w:ascii="仿宋" w:eastAsia="仿宋" w:hAnsi="仿宋" w:cs="仿宋_GB2312" w:hint="eastAsia"/>
          <w:sz w:val="32"/>
          <w:szCs w:val="32"/>
        </w:rPr>
        <w:t>经费支出决算表</w:t>
      </w:r>
    </w:p>
    <w:p w:rsidR="000D6120" w:rsidRDefault="00245270">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第三部分</w:t>
      </w:r>
      <w:r>
        <w:rPr>
          <w:rFonts w:ascii="黑体" w:eastAsia="黑体" w:cs="黑体"/>
          <w:sz w:val="32"/>
          <w:szCs w:val="32"/>
        </w:rPr>
        <w:t xml:space="preserve"> </w:t>
      </w:r>
      <w:r w:rsidR="00EB7118">
        <w:rPr>
          <w:rFonts w:ascii="黑体" w:eastAsia="黑体" w:cs="黑体"/>
          <w:sz w:val="32"/>
          <w:szCs w:val="32"/>
        </w:rPr>
        <w:t>2021</w:t>
      </w:r>
      <w:r>
        <w:rPr>
          <w:rFonts w:ascii="黑体" w:eastAsia="黑体" w:cs="黑体" w:hint="eastAsia"/>
          <w:sz w:val="32"/>
          <w:szCs w:val="32"/>
        </w:rPr>
        <w:t>年度决算情况说明</w:t>
      </w:r>
    </w:p>
    <w:p w:rsidR="000D6120" w:rsidRDefault="00245270">
      <w:pPr>
        <w:spacing w:before="275" w:line="560" w:lineRule="exact"/>
        <w:rPr>
          <w:rFonts w:ascii="MEHBVP+TimesNewRomanPSMT" w:eastAsiaTheme="minorEastAsia"/>
          <w:color w:val="FFFFFF"/>
          <w:sz w:val="18"/>
          <w:szCs w:val="22"/>
        </w:rPr>
      </w:pPr>
      <w:r>
        <w:rPr>
          <w:rFonts w:ascii="黑体" w:eastAsia="黑体" w:cs="黑体" w:hint="eastAsia"/>
          <w:sz w:val="32"/>
          <w:szCs w:val="32"/>
        </w:rPr>
        <w:t>第四部分 名词解释</w:t>
      </w:r>
      <w:r>
        <w:rPr>
          <w:rFonts w:ascii="MEHBVP+TimesNewRomanPSMT" w:eastAsia="Times New Roman"/>
          <w:color w:val="FFFFFF"/>
          <w:sz w:val="18"/>
          <w:szCs w:val="22"/>
        </w:rPr>
        <w:t>-2-</w:t>
      </w:r>
    </w:p>
    <w:p w:rsidR="000D6120" w:rsidRDefault="00245270">
      <w:pPr>
        <w:rPr>
          <w:rFonts w:ascii="MEHBVP+TimesNewRomanPSMT" w:eastAsiaTheme="minorEastAsia"/>
          <w:color w:val="FFFFFF"/>
          <w:sz w:val="18"/>
          <w:szCs w:val="22"/>
        </w:rPr>
      </w:pPr>
      <w:r>
        <w:rPr>
          <w:rFonts w:ascii="MEHBVP+TimesNewRomanPSMT" w:eastAsiaTheme="minorEastAsia" w:hint="eastAsia"/>
          <w:color w:val="FFFFFF"/>
          <w:sz w:val="18"/>
          <w:szCs w:val="22"/>
        </w:rPr>
        <w:t>口口口口口口口口口</w:t>
      </w: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365" w:lineRule="exact"/>
        <w:rPr>
          <w:rFonts w:ascii="MEHBVP+TimesNewRomanPSMT" w:eastAsiaTheme="minorEastAsia"/>
          <w:color w:val="FFFFFF"/>
          <w:sz w:val="18"/>
          <w:szCs w:val="22"/>
        </w:rPr>
      </w:pPr>
    </w:p>
    <w:p w:rsidR="000D6120" w:rsidRDefault="000D6120">
      <w:pPr>
        <w:spacing w:before="275" w:line="560" w:lineRule="exact"/>
        <w:rPr>
          <w:rFonts w:ascii="MEHBVP+TimesNewRomanPSMT" w:eastAsiaTheme="minorEastAsia"/>
          <w:color w:val="FFFFFF"/>
          <w:sz w:val="18"/>
          <w:szCs w:val="22"/>
        </w:rPr>
      </w:pPr>
    </w:p>
    <w:p w:rsidR="000D6120" w:rsidRDefault="000D6120">
      <w:pPr>
        <w:spacing w:before="275" w:line="560" w:lineRule="exact"/>
        <w:rPr>
          <w:rFonts w:ascii="MEHBVP+TimesNewRomanPSMT" w:eastAsiaTheme="minorEastAsia"/>
          <w:color w:val="FFFFFF"/>
          <w:sz w:val="18"/>
          <w:szCs w:val="22"/>
        </w:rPr>
      </w:pPr>
    </w:p>
    <w:p w:rsidR="000D6120" w:rsidRDefault="00245270">
      <w:pPr>
        <w:spacing w:before="275" w:line="560" w:lineRule="exact"/>
        <w:rPr>
          <w:rFonts w:ascii="MEHBVP+TimesNewRomanPSMT" w:eastAsiaTheme="minorEastAsia"/>
          <w:color w:val="FFFFFF"/>
          <w:sz w:val="18"/>
          <w:szCs w:val="22"/>
        </w:rPr>
      </w:pPr>
      <w:r>
        <w:rPr>
          <w:rFonts w:ascii="MEHBVP+TimesNewRomanPSMT" w:eastAsiaTheme="minorEastAsia"/>
          <w:noProof/>
          <w:color w:val="FFFFFF"/>
          <w:sz w:val="18"/>
          <w:szCs w:val="22"/>
        </w:rPr>
        <w:drawing>
          <wp:anchor distT="0" distB="0" distL="114300" distR="114300" simplePos="0" relativeHeight="251660288" behindDoc="1" locked="0" layoutInCell="1" allowOverlap="1">
            <wp:simplePos x="0" y="0"/>
            <wp:positionH relativeFrom="page">
              <wp:posOffset>-9525</wp:posOffset>
            </wp:positionH>
            <wp:positionV relativeFrom="page">
              <wp:posOffset>3876675</wp:posOffset>
            </wp:positionV>
            <wp:extent cx="7581900" cy="1885950"/>
            <wp:effectExtent l="19050" t="0" r="0" b="0"/>
            <wp:wrapNone/>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noChangeArrowheads="1"/>
                    </pic:cNvPicPr>
                  </pic:nvPicPr>
                  <pic:blipFill>
                    <a:blip r:embed="rId10"/>
                    <a:srcRect/>
                    <a:stretch>
                      <a:fillRect/>
                    </a:stretch>
                  </pic:blipFill>
                  <pic:spPr>
                    <a:xfrm>
                      <a:off x="0" y="0"/>
                      <a:ext cx="7581900" cy="1885950"/>
                    </a:xfrm>
                    <a:prstGeom prst="rect">
                      <a:avLst/>
                    </a:prstGeom>
                    <a:noFill/>
                  </pic:spPr>
                </pic:pic>
              </a:graphicData>
            </a:graphic>
          </wp:anchor>
        </w:drawing>
      </w:r>
    </w:p>
    <w:p w:rsidR="000D6120" w:rsidRDefault="00245270">
      <w:pPr>
        <w:numPr>
          <w:ilvl w:val="0"/>
          <w:numId w:val="1"/>
        </w:numPr>
        <w:spacing w:before="275" w:line="560" w:lineRule="exact"/>
        <w:rPr>
          <w:rFonts w:ascii="黑体" w:eastAsia="黑体" w:hAnsi="黑体" w:cs="黑体"/>
          <w:color w:val="000000"/>
          <w:sz w:val="52"/>
          <w:szCs w:val="52"/>
        </w:rPr>
      </w:pPr>
      <w:r>
        <w:rPr>
          <w:rFonts w:ascii="黑体" w:eastAsia="黑体" w:hAnsi="黑体" w:cs="黑体"/>
          <w:noProof/>
          <w:color w:val="000000"/>
          <w:sz w:val="52"/>
          <w:szCs w:val="52"/>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11" cstate="print"/>
                    <a:srcRect/>
                    <a:stretch>
                      <a:fillRect/>
                    </a:stretch>
                  </pic:blipFill>
                  <pic:spPr>
                    <a:xfrm>
                      <a:off x="0" y="0"/>
                      <a:ext cx="38100" cy="38100"/>
                    </a:xfrm>
                    <a:prstGeom prst="rect">
                      <a:avLst/>
                    </a:prstGeom>
                    <a:noFill/>
                  </pic:spPr>
                </pic:pic>
              </a:graphicData>
            </a:graphic>
          </wp:anchor>
        </w:drawing>
      </w:r>
    </w:p>
    <w:p w:rsidR="000D6120" w:rsidRDefault="00245270">
      <w:pPr>
        <w:spacing w:before="275" w:line="560" w:lineRule="exact"/>
        <w:rPr>
          <w:rFonts w:ascii="黑体" w:eastAsia="黑体" w:hAnsi="黑体" w:cs="黑体"/>
          <w:color w:val="000000"/>
          <w:sz w:val="52"/>
          <w:szCs w:val="52"/>
        </w:rPr>
      </w:pPr>
      <w:r>
        <w:rPr>
          <w:rFonts w:ascii="黑体" w:eastAsia="黑体" w:hAnsi="黑体" w:cs="黑体" w:hint="eastAsia"/>
          <w:color w:val="000000"/>
          <w:sz w:val="52"/>
          <w:szCs w:val="52"/>
        </w:rPr>
        <w:t>国家能源局新疆监管办公室</w:t>
      </w:r>
      <w:r>
        <w:rPr>
          <w:rFonts w:ascii="黑体" w:eastAsia="黑体" w:hAnsi="黑体" w:cs="黑体"/>
          <w:color w:val="000000"/>
          <w:sz w:val="52"/>
          <w:szCs w:val="52"/>
        </w:rPr>
        <w:t>概况</w:t>
      </w:r>
    </w:p>
    <w:p w:rsidR="000D6120" w:rsidRDefault="00245270">
      <w:pPr>
        <w:rPr>
          <w:rFonts w:ascii="黑体" w:eastAsia="黑体" w:hAnsi="黑体" w:cs="黑体"/>
          <w:color w:val="000000"/>
          <w:sz w:val="32"/>
          <w:szCs w:val="22"/>
        </w:rPr>
      </w:pPr>
      <w:r>
        <w:rPr>
          <w:rFonts w:ascii="黑体" w:eastAsia="黑体" w:hAnsi="黑体" w:cs="黑体"/>
          <w:color w:val="000000"/>
          <w:sz w:val="32"/>
          <w:szCs w:val="22"/>
        </w:rPr>
        <w:br w:type="page"/>
      </w:r>
    </w:p>
    <w:p w:rsidR="000D6120" w:rsidRDefault="00245270">
      <w:pPr>
        <w:adjustRightInd w:val="0"/>
        <w:snapToGrid w:val="0"/>
        <w:spacing w:line="560" w:lineRule="exact"/>
        <w:ind w:left="641"/>
        <w:jc w:val="both"/>
        <w:rPr>
          <w:rFonts w:ascii="黑体" w:eastAsia="黑体" w:hAnsi="黑体"/>
          <w:color w:val="000000"/>
          <w:sz w:val="32"/>
          <w:szCs w:val="22"/>
        </w:rPr>
      </w:pPr>
      <w:r>
        <w:rPr>
          <w:rFonts w:ascii="黑体" w:eastAsia="黑体" w:hAnsi="黑体" w:cs="黑体" w:hint="eastAsia"/>
          <w:color w:val="000000"/>
          <w:sz w:val="32"/>
          <w:szCs w:val="22"/>
        </w:rPr>
        <w:lastRenderedPageBreak/>
        <w:t>一、单位职责</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 xml:space="preserve">根据《中央编办关于国家能源局派出机构设置的通知》（中央编办发 </w:t>
      </w:r>
      <w:r>
        <w:rPr>
          <w:rFonts w:ascii="仿宋" w:eastAsia="仿宋" w:hAnsi="仿宋" w:cs="仿宋_GB2312"/>
          <w:sz w:val="32"/>
          <w:szCs w:val="32"/>
        </w:rPr>
        <w:t>〔2013〕130 号）及《国家能源局关于印发&lt;国家能源局派出机构主要职责内设机构和人员编制规定&gt;的通知》（国能人事〔2013〕438 号），国家能源局</w:t>
      </w:r>
      <w:r>
        <w:rPr>
          <w:rFonts w:ascii="仿宋" w:eastAsia="仿宋" w:hAnsi="仿宋" w:cs="仿宋_GB2312" w:hint="eastAsia"/>
          <w:sz w:val="32"/>
          <w:szCs w:val="32"/>
        </w:rPr>
        <w:t>新疆</w:t>
      </w:r>
      <w:r>
        <w:rPr>
          <w:rFonts w:ascii="仿宋" w:eastAsia="仿宋" w:hAnsi="仿宋" w:cs="仿宋_GB2312"/>
          <w:sz w:val="32"/>
          <w:szCs w:val="32"/>
        </w:rPr>
        <w:t>监管办公室根据有关法律法规规定和国家能源局的授权，负责</w:t>
      </w:r>
      <w:r>
        <w:rPr>
          <w:rFonts w:ascii="仿宋" w:eastAsia="仿宋" w:hAnsi="仿宋" w:cs="仿宋_GB2312" w:hint="eastAsia"/>
          <w:sz w:val="32"/>
          <w:szCs w:val="32"/>
        </w:rPr>
        <w:t>新疆维吾尔自治区</w:t>
      </w:r>
      <w:r>
        <w:rPr>
          <w:rFonts w:ascii="仿宋" w:eastAsia="仿宋" w:hAnsi="仿宋" w:cs="仿宋_GB2312"/>
          <w:sz w:val="32"/>
          <w:szCs w:val="32"/>
        </w:rPr>
        <w:t xml:space="preserve">内的能源监管工作。主要职责是：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（一）监督电力市场运行，规范电力市场秩序。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（二）监管电网和油气管网设施的公平开放。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（三）监管电力调度交易，监督电力普遍服务政策的实施。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（四）负责电力等能源行政执法工作，依法查处有关违法违规行为，监 督检查有关电价。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（五）负责除核安全外的电力运行安全、电力建设工程施工安全、工程 质量安全的监督管理以及电力应急和可靠性管理，依法组织或参与电力事故调查处理。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（六）负责组织实施电力业务许可以及依法设定的其他行政许可。 </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（七）负责法律法规授权以及国家能源局下达或交办的有关事项监管。</w:t>
      </w:r>
    </w:p>
    <w:p w:rsidR="000D6120" w:rsidRDefault="00245270">
      <w:pPr>
        <w:ind w:firstLineChars="300" w:firstLine="720"/>
        <w:rPr>
          <w:rFonts w:ascii="仿宋" w:eastAsia="仿宋" w:hAnsi="仿宋" w:cs="仿宋_GB2312"/>
          <w:sz w:val="32"/>
          <w:szCs w:val="32"/>
        </w:rPr>
      </w:pPr>
      <w:r>
        <w:rPr>
          <w:rFonts w:ascii="隶书" w:eastAsia="隶书" w:hint="eastAsia"/>
          <w:noProof/>
        </w:rPr>
        <w:drawing>
          <wp:anchor distT="0" distB="0" distL="114300" distR="114300" simplePos="0" relativeHeight="25166336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srcRect/>
                    <a:stretch>
                      <a:fillRect/>
                    </a:stretch>
                  </pic:blipFill>
                  <pic:spPr>
                    <a:xfrm>
                      <a:off x="0" y="0"/>
                      <a:ext cx="38100" cy="38100"/>
                    </a:xfrm>
                    <a:prstGeom prst="rect">
                      <a:avLst/>
                    </a:prstGeom>
                    <a:noFill/>
                  </pic:spPr>
                </pic:pic>
              </a:graphicData>
            </a:graphic>
          </wp:anchor>
        </w:drawing>
      </w:r>
      <w:r>
        <w:rPr>
          <w:rFonts w:ascii="黑体" w:eastAsia="黑体" w:cs="黑体" w:hint="eastAsia"/>
          <w:sz w:val="32"/>
          <w:szCs w:val="32"/>
        </w:rPr>
        <w:t>二、机构设置</w:t>
      </w:r>
    </w:p>
    <w:p w:rsidR="000D6120" w:rsidRDefault="0024527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国家能源局</w:t>
      </w:r>
      <w:r>
        <w:rPr>
          <w:rFonts w:ascii="仿宋" w:eastAsia="仿宋" w:hAnsi="仿宋" w:cs="仿宋_GB2312" w:hint="eastAsia"/>
          <w:sz w:val="32"/>
          <w:szCs w:val="32"/>
        </w:rPr>
        <w:t>新疆</w:t>
      </w:r>
      <w:r>
        <w:rPr>
          <w:rFonts w:ascii="仿宋" w:eastAsia="仿宋" w:hAnsi="仿宋" w:cs="仿宋_GB2312"/>
          <w:sz w:val="32"/>
          <w:szCs w:val="32"/>
        </w:rPr>
        <w:t>监管办公室内设 6 个处室：综合处、市场监管处、行业监管处、电力安全监管处、资质管理处、稽查处。</w:t>
      </w:r>
    </w:p>
    <w:p w:rsidR="000D6120" w:rsidRDefault="000D6120">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p>
    <w:p w:rsidR="000D6120" w:rsidRDefault="000D6120">
      <w:pPr>
        <w:widowControl w:val="0"/>
        <w:autoSpaceDE w:val="0"/>
        <w:autoSpaceDN w:val="0"/>
        <w:adjustRightInd w:val="0"/>
        <w:snapToGrid w:val="0"/>
        <w:spacing w:line="560" w:lineRule="exact"/>
        <w:ind w:firstLineChars="200" w:firstLine="640"/>
        <w:rPr>
          <w:rFonts w:ascii="仿宋_GB2312" w:eastAsia="仿宋_GB2312" w:hAnsi="仿宋" w:cs="仿宋_GB2312"/>
          <w:sz w:val="32"/>
          <w:szCs w:val="32"/>
        </w:rPr>
      </w:pPr>
    </w:p>
    <w:p w:rsidR="000D6120" w:rsidRDefault="000D6120">
      <w:pPr>
        <w:widowControl w:val="0"/>
        <w:autoSpaceDE w:val="0"/>
        <w:autoSpaceDN w:val="0"/>
        <w:adjustRightInd w:val="0"/>
        <w:snapToGrid w:val="0"/>
        <w:spacing w:line="560" w:lineRule="exact"/>
        <w:jc w:val="both"/>
        <w:rPr>
          <w:rFonts w:ascii="仿宋_GB2312" w:eastAsia="仿宋_GB2312" w:hAnsi="仿宋"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snapToGrid w:val="0"/>
        <w:spacing w:line="560" w:lineRule="exact"/>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Pr="0014337E" w:rsidRDefault="00245270">
      <w:pPr>
        <w:widowControl w:val="0"/>
        <w:autoSpaceDE w:val="0"/>
        <w:autoSpaceDN w:val="0"/>
        <w:adjustRightInd w:val="0"/>
        <w:rPr>
          <w:rFonts w:ascii="仿宋_GB2312" w:eastAsia="仿宋_GB2312" w:cs="仿宋_GB2312"/>
          <w:sz w:val="32"/>
          <w:szCs w:val="32"/>
        </w:rPr>
      </w:pPr>
      <w:r>
        <w:rPr>
          <w:rFonts w:ascii="黑体" w:eastAsia="黑体" w:cs="黑体"/>
          <w:noProof/>
          <w:sz w:val="52"/>
          <w:szCs w:val="52"/>
        </w:rPr>
        <w:drawing>
          <wp:anchor distT="0" distB="0" distL="114300" distR="114300" simplePos="0" relativeHeight="251661312" behindDoc="1" locked="0" layoutInCell="1" allowOverlap="1">
            <wp:simplePos x="0" y="0"/>
            <wp:positionH relativeFrom="page">
              <wp:posOffset>-47625</wp:posOffset>
            </wp:positionH>
            <wp:positionV relativeFrom="page">
              <wp:posOffset>3529330</wp:posOffset>
            </wp:positionV>
            <wp:extent cx="7581900" cy="1902460"/>
            <wp:effectExtent l="0" t="0" r="7620" b="254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10"/>
                    <a:srcRect/>
                    <a:stretch>
                      <a:fillRect/>
                    </a:stretch>
                  </pic:blipFill>
                  <pic:spPr>
                    <a:xfrm>
                      <a:off x="0" y="0"/>
                      <a:ext cx="7581900" cy="1902460"/>
                    </a:xfrm>
                    <a:prstGeom prst="rect">
                      <a:avLst/>
                    </a:prstGeom>
                    <a:noFill/>
                  </pic:spPr>
                </pic:pic>
              </a:graphicData>
            </a:graphic>
          </wp:anchor>
        </w:drawing>
      </w:r>
    </w:p>
    <w:p w:rsidR="000D6120" w:rsidRDefault="000D6120">
      <w:pPr>
        <w:widowControl w:val="0"/>
        <w:numPr>
          <w:ilvl w:val="0"/>
          <w:numId w:val="1"/>
        </w:numPr>
        <w:autoSpaceDE w:val="0"/>
        <w:autoSpaceDN w:val="0"/>
        <w:adjustRightInd w:val="0"/>
        <w:ind w:rightChars="235" w:right="564"/>
        <w:jc w:val="both"/>
        <w:rPr>
          <w:rFonts w:ascii="黑体" w:eastAsia="黑体" w:cs="黑体"/>
          <w:sz w:val="52"/>
          <w:szCs w:val="52"/>
        </w:rPr>
      </w:pPr>
    </w:p>
    <w:p w:rsidR="000D6120" w:rsidRDefault="00EB7118">
      <w:pPr>
        <w:widowControl w:val="0"/>
        <w:autoSpaceDE w:val="0"/>
        <w:autoSpaceDN w:val="0"/>
        <w:adjustRightInd w:val="0"/>
        <w:ind w:rightChars="235" w:right="564"/>
        <w:jc w:val="both"/>
        <w:rPr>
          <w:rFonts w:ascii="黑体" w:eastAsia="黑体" w:cs="黑体"/>
          <w:sz w:val="52"/>
          <w:szCs w:val="52"/>
        </w:rPr>
      </w:pPr>
      <w:r>
        <w:rPr>
          <w:rFonts w:ascii="黑体" w:eastAsia="黑体" w:cs="黑体"/>
          <w:sz w:val="52"/>
          <w:szCs w:val="52"/>
        </w:rPr>
        <w:t>2021</w:t>
      </w:r>
      <w:r w:rsidR="00245270">
        <w:rPr>
          <w:rFonts w:ascii="黑体" w:eastAsia="黑体" w:cs="黑体" w:hint="eastAsia"/>
          <w:sz w:val="52"/>
          <w:szCs w:val="52"/>
        </w:rPr>
        <w:t>年度决算表</w:t>
      </w: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rPr>
          <w:rFonts w:ascii="仿宋" w:eastAsia="仿宋" w:hAnsi="仿宋" w:cs="黑体"/>
          <w:sz w:val="32"/>
          <w:szCs w:val="3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0D6120">
      <w:pPr>
        <w:widowControl w:val="0"/>
        <w:autoSpaceDE w:val="0"/>
        <w:autoSpaceDN w:val="0"/>
        <w:adjustRightInd w:val="0"/>
        <w:jc w:val="center"/>
        <w:rPr>
          <w:rFonts w:ascii="隶书" w:hAnsi="隶书" w:cs="隶书"/>
          <w:color w:val="000000"/>
          <w:sz w:val="30"/>
          <w:szCs w:val="22"/>
        </w:rPr>
      </w:pPr>
    </w:p>
    <w:p w:rsidR="000D6120" w:rsidRDefault="00245270">
      <w:pPr>
        <w:rPr>
          <w:rFonts w:ascii="黑体" w:eastAsia="黑体" w:hAnsi="黑体" w:cs="Arial"/>
          <w:color w:val="000000"/>
          <w:sz w:val="28"/>
          <w:szCs w:val="28"/>
        </w:rPr>
      </w:pPr>
      <w:r>
        <w:rPr>
          <w:rFonts w:ascii="黑体" w:eastAsia="黑体" w:hAnsi="黑体" w:cs="Arial"/>
          <w:color w:val="000000"/>
          <w:sz w:val="28"/>
          <w:szCs w:val="28"/>
        </w:rPr>
        <w:br w:type="page"/>
      </w:r>
    </w:p>
    <w:p w:rsidR="000D6120" w:rsidRDefault="000D6120">
      <w:pPr>
        <w:widowControl w:val="0"/>
        <w:autoSpaceDE w:val="0"/>
        <w:autoSpaceDN w:val="0"/>
        <w:adjustRightInd w:val="0"/>
        <w:snapToGrid w:val="0"/>
        <w:jc w:val="center"/>
        <w:rPr>
          <w:rFonts w:ascii="黑体" w:eastAsia="黑体" w:hAnsi="黑体" w:cs="Arial"/>
          <w:color w:val="000000"/>
          <w:sz w:val="28"/>
          <w:szCs w:val="28"/>
        </w:rPr>
      </w:pPr>
    </w:p>
    <w:p w:rsidR="000D6120" w:rsidRDefault="000D6120">
      <w:pPr>
        <w:widowControl w:val="0"/>
        <w:autoSpaceDE w:val="0"/>
        <w:autoSpaceDN w:val="0"/>
        <w:adjustRightInd w:val="0"/>
        <w:snapToGrid w:val="0"/>
        <w:jc w:val="center"/>
        <w:rPr>
          <w:rFonts w:ascii="黑体" w:eastAsia="黑体" w:hAnsi="黑体" w:cs="Arial"/>
          <w:color w:val="000000"/>
          <w:sz w:val="28"/>
          <w:szCs w:val="28"/>
        </w:rPr>
      </w:pPr>
    </w:p>
    <w:p w:rsidR="000D6120" w:rsidRDefault="00245270">
      <w:pPr>
        <w:widowControl w:val="0"/>
        <w:autoSpaceDE w:val="0"/>
        <w:autoSpaceDN w:val="0"/>
        <w:adjustRightInd w:val="0"/>
        <w:snapToGrid w:val="0"/>
        <w:jc w:val="center"/>
        <w:rPr>
          <w:rFonts w:ascii="黑体" w:eastAsia="黑体" w:hAnsi="黑体" w:cs="Arial"/>
          <w:color w:val="000000"/>
          <w:sz w:val="44"/>
          <w:szCs w:val="44"/>
        </w:rPr>
      </w:pPr>
      <w:r>
        <w:rPr>
          <w:rFonts w:ascii="黑体" w:eastAsia="黑体" w:hAnsi="黑体" w:cs="Arial" w:hint="eastAsia"/>
          <w:color w:val="000000"/>
          <w:sz w:val="44"/>
          <w:szCs w:val="44"/>
        </w:rPr>
        <w:t>收入支出决算总表</w:t>
      </w:r>
    </w:p>
    <w:p w:rsidR="000D6120" w:rsidRDefault="000D6120">
      <w:pPr>
        <w:widowControl w:val="0"/>
        <w:autoSpaceDE w:val="0"/>
        <w:autoSpaceDN w:val="0"/>
        <w:adjustRightInd w:val="0"/>
        <w:snapToGrid w:val="0"/>
        <w:jc w:val="center"/>
        <w:rPr>
          <w:rFonts w:ascii="黑体" w:eastAsia="黑体" w:hAnsi="黑体" w:cs="Arial"/>
          <w:color w:val="000000"/>
          <w:sz w:val="44"/>
          <w:szCs w:val="44"/>
        </w:rPr>
      </w:pPr>
    </w:p>
    <w:p w:rsidR="000D6120" w:rsidRDefault="00245270">
      <w:pPr>
        <w:widowControl w:val="0"/>
        <w:autoSpaceDE w:val="0"/>
        <w:autoSpaceDN w:val="0"/>
        <w:adjustRightInd w:val="0"/>
        <w:snapToGrid w:val="0"/>
        <w:jc w:val="right"/>
        <w:rPr>
          <w:rFonts w:ascii="黑体" w:eastAsia="黑体" w:hAnsi="黑体" w:cs="Arial"/>
          <w:color w:val="000000"/>
          <w:sz w:val="15"/>
          <w:szCs w:val="15"/>
        </w:rPr>
      </w:pPr>
      <w:r>
        <w:rPr>
          <w:rFonts w:ascii="宋体" w:hAnsi="宋体" w:cs="Arial" w:hint="eastAsia"/>
          <w:color w:val="000000"/>
          <w:sz w:val="20"/>
          <w:szCs w:val="20"/>
        </w:rPr>
        <w:t>公开01表</w:t>
      </w:r>
    </w:p>
    <w:tbl>
      <w:tblPr>
        <w:tblW w:w="9191" w:type="dxa"/>
        <w:tblInd w:w="96" w:type="dxa"/>
        <w:tblLook w:val="04A0"/>
      </w:tblPr>
      <w:tblGrid>
        <w:gridCol w:w="3251"/>
        <w:gridCol w:w="605"/>
        <w:gridCol w:w="787"/>
        <w:gridCol w:w="3122"/>
        <w:gridCol w:w="617"/>
        <w:gridCol w:w="809"/>
      </w:tblGrid>
      <w:tr w:rsidR="000D6120">
        <w:trPr>
          <w:trHeight w:val="264"/>
        </w:trPr>
        <w:tc>
          <w:tcPr>
            <w:tcW w:w="3856" w:type="dxa"/>
            <w:gridSpan w:val="2"/>
            <w:tcBorders>
              <w:top w:val="nil"/>
              <w:left w:val="nil"/>
              <w:bottom w:val="nil"/>
              <w:right w:val="nil"/>
            </w:tcBorders>
            <w:shd w:val="clear" w:color="auto" w:fill="FFFFFF"/>
            <w:noWrap/>
            <w:vAlign w:val="bottom"/>
          </w:tcPr>
          <w:p w:rsidR="000D6120" w:rsidRDefault="00245270">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787"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4548" w:type="dxa"/>
            <w:gridSpan w:val="3"/>
            <w:tcBorders>
              <w:top w:val="nil"/>
              <w:left w:val="nil"/>
              <w:bottom w:val="nil"/>
              <w:right w:val="nil"/>
            </w:tcBorders>
            <w:shd w:val="clear" w:color="auto" w:fill="FFFFFF"/>
            <w:noWrap/>
            <w:vAlign w:val="bottom"/>
          </w:tcPr>
          <w:p w:rsidR="000D6120" w:rsidRDefault="00245270">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0D6120">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收入</w:t>
            </w:r>
          </w:p>
        </w:tc>
        <w:tc>
          <w:tcPr>
            <w:tcW w:w="0" w:type="auto"/>
            <w:gridSpan w:val="3"/>
            <w:tcBorders>
              <w:top w:val="single" w:sz="4" w:space="0" w:color="000000"/>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支出</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一、一般公共预算财政拨款收入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606.71</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一、一般公共服务支出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二、政府性基金预算财政拨款收入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二、外交支出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三、国有资本经营预算财政拨款收入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三、国防支出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四、上级补助收入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四、公共安全支出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五、事业收入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五、教育支出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六、经营收入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六、科学技术支出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七、附属单位上缴收入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七、文化旅游体育与传媒支出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八、其他收入</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53.13</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八、社会保障和就业支出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九、卫生健康支出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十、节能环保支出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568.31</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十一、城乡社区支出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十二、农林水支出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十三、交通运输支出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十四、资源勘探工业信息等支出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十五、商业服务业等支出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十六、金融支出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十七、援助其他地区支出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十八、自然资源海洋气象等支出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十九、住房保障支出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二十、粮油物资储备支出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二十一、国有资本经营预算支出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二十二、灾害防治及应急管理支出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23</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二十三、其他支出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二十四、债务还本支出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二十五、债务付息支出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二十六、抗疫特别国债安排的支出</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本年收入合计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659.84</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本年支出合计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678.18</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使用非财政拨款结余</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结余分配</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年初结转和结余</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81.82</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年末结转和结余</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63.49</w:t>
            </w: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31</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741.66</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62</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EB7118">
            <w:pPr>
              <w:jc w:val="right"/>
              <w:textAlignment w:val="center"/>
              <w:rPr>
                <w:rFonts w:ascii="宋体" w:hAnsi="宋体" w:cs="宋体"/>
                <w:color w:val="000000"/>
                <w:sz w:val="18"/>
                <w:szCs w:val="18"/>
              </w:rPr>
            </w:pPr>
            <w:r>
              <w:rPr>
                <w:rFonts w:ascii="宋体" w:hAnsi="宋体" w:cs="宋体" w:hint="eastAsia"/>
                <w:color w:val="000000"/>
                <w:sz w:val="18"/>
                <w:szCs w:val="18"/>
              </w:rPr>
              <w:t>741.66</w:t>
            </w:r>
          </w:p>
        </w:tc>
      </w:tr>
    </w:tbl>
    <w:p w:rsidR="000D6120" w:rsidRDefault="000D6120">
      <w:pPr>
        <w:widowControl w:val="0"/>
        <w:autoSpaceDE w:val="0"/>
        <w:autoSpaceDN w:val="0"/>
        <w:adjustRightInd w:val="0"/>
        <w:snapToGrid w:val="0"/>
        <w:jc w:val="center"/>
        <w:rPr>
          <w:rFonts w:ascii="黑体" w:eastAsia="黑体" w:hAnsi="黑体" w:cs="Arial"/>
          <w:color w:val="000000"/>
          <w:sz w:val="44"/>
          <w:szCs w:val="44"/>
        </w:rPr>
      </w:pPr>
    </w:p>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注：本表反映部门本年度的总收支和年末结转结余情况。本套报表金额单位转换时可能存在尾数误差。</w:t>
      </w:r>
    </w:p>
    <w:p w:rsidR="000D6120" w:rsidRDefault="00245270">
      <w:pPr>
        <w:jc w:val="center"/>
        <w:rPr>
          <w:rFonts w:ascii="黑体" w:eastAsia="黑体" w:hAnsi="黑体" w:cs="隶书"/>
          <w:color w:val="000000"/>
          <w:sz w:val="28"/>
          <w:szCs w:val="28"/>
        </w:rPr>
      </w:pPr>
      <w:r>
        <w:rPr>
          <w:rFonts w:ascii="黑体" w:eastAsia="黑体" w:hAnsi="黑体" w:cs="隶书"/>
          <w:color w:val="000000"/>
          <w:sz w:val="28"/>
          <w:szCs w:val="28"/>
        </w:rPr>
        <w:br w:type="page"/>
      </w:r>
    </w:p>
    <w:p w:rsidR="000D6120" w:rsidRDefault="000D6120">
      <w:pPr>
        <w:jc w:val="center"/>
        <w:rPr>
          <w:rFonts w:ascii="黑体" w:eastAsia="黑体" w:hAnsi="黑体" w:cs="隶书"/>
          <w:color w:val="000000"/>
          <w:sz w:val="28"/>
          <w:szCs w:val="28"/>
        </w:rPr>
      </w:pPr>
    </w:p>
    <w:p w:rsidR="000D6120" w:rsidRDefault="00245270">
      <w:pPr>
        <w:jc w:val="center"/>
        <w:rPr>
          <w:rFonts w:ascii="黑体" w:eastAsia="黑体" w:hAnsi="黑体" w:cs="隶书"/>
          <w:color w:val="000000"/>
          <w:sz w:val="44"/>
          <w:szCs w:val="44"/>
        </w:rPr>
      </w:pPr>
      <w:r>
        <w:rPr>
          <w:rFonts w:ascii="黑体" w:eastAsia="黑体" w:hAnsi="黑体" w:cs="隶书" w:hint="eastAsia"/>
          <w:color w:val="000000"/>
          <w:sz w:val="44"/>
          <w:szCs w:val="44"/>
        </w:rPr>
        <w:t>收入决算表</w:t>
      </w:r>
    </w:p>
    <w:p w:rsidR="000D6120" w:rsidRDefault="000D6120">
      <w:pPr>
        <w:jc w:val="center"/>
        <w:rPr>
          <w:rFonts w:ascii="黑体" w:eastAsia="黑体" w:hAnsi="黑体" w:cs="隶书"/>
          <w:color w:val="000000"/>
          <w:sz w:val="44"/>
          <w:szCs w:val="44"/>
        </w:rPr>
      </w:pPr>
    </w:p>
    <w:p w:rsidR="000D6120" w:rsidRDefault="00245270">
      <w:pPr>
        <w:jc w:val="right"/>
        <w:rPr>
          <w:rFonts w:ascii="黑体" w:eastAsia="黑体" w:hAnsi="黑体" w:cs="隶书"/>
          <w:color w:val="000000"/>
          <w:sz w:val="44"/>
          <w:szCs w:val="44"/>
        </w:rPr>
      </w:pPr>
      <w:r>
        <w:rPr>
          <w:rFonts w:ascii="宋体" w:hAnsi="宋体" w:cs="Arial" w:hint="eastAsia"/>
          <w:color w:val="000000"/>
          <w:sz w:val="20"/>
          <w:szCs w:val="20"/>
        </w:rPr>
        <w:t>公开02表</w:t>
      </w:r>
    </w:p>
    <w:tbl>
      <w:tblPr>
        <w:tblW w:w="9191" w:type="dxa"/>
        <w:tblInd w:w="96" w:type="dxa"/>
        <w:tblLook w:val="04A0"/>
      </w:tblPr>
      <w:tblGrid>
        <w:gridCol w:w="417"/>
        <w:gridCol w:w="417"/>
        <w:gridCol w:w="417"/>
        <w:gridCol w:w="3449"/>
        <w:gridCol w:w="797"/>
        <w:gridCol w:w="797"/>
        <w:gridCol w:w="549"/>
        <w:gridCol w:w="549"/>
        <w:gridCol w:w="549"/>
        <w:gridCol w:w="550"/>
        <w:gridCol w:w="700"/>
      </w:tblGrid>
      <w:tr w:rsidR="000D6120">
        <w:trPr>
          <w:trHeight w:val="264"/>
        </w:trPr>
        <w:tc>
          <w:tcPr>
            <w:tcW w:w="4700" w:type="dxa"/>
            <w:gridSpan w:val="4"/>
            <w:tcBorders>
              <w:top w:val="nil"/>
              <w:left w:val="nil"/>
              <w:bottom w:val="nil"/>
              <w:right w:val="nil"/>
            </w:tcBorders>
            <w:shd w:val="clear" w:color="auto" w:fill="auto"/>
            <w:noWrap/>
            <w:vAlign w:val="bottom"/>
          </w:tcPr>
          <w:p w:rsidR="000D6120" w:rsidRDefault="00245270">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797" w:type="dxa"/>
            <w:tcBorders>
              <w:top w:val="nil"/>
              <w:left w:val="nil"/>
              <w:bottom w:val="nil"/>
              <w:right w:val="nil"/>
            </w:tcBorders>
            <w:shd w:val="clear" w:color="auto" w:fill="auto"/>
            <w:noWrap/>
            <w:vAlign w:val="bottom"/>
          </w:tcPr>
          <w:p w:rsidR="000D6120" w:rsidRDefault="000D6120">
            <w:pPr>
              <w:rPr>
                <w:rFonts w:ascii="Arial" w:hAnsi="Arial" w:cs="Arial"/>
                <w:color w:val="000000"/>
                <w:sz w:val="20"/>
                <w:szCs w:val="20"/>
              </w:rPr>
            </w:pPr>
          </w:p>
        </w:tc>
        <w:tc>
          <w:tcPr>
            <w:tcW w:w="797" w:type="dxa"/>
            <w:tcBorders>
              <w:top w:val="nil"/>
              <w:left w:val="nil"/>
              <w:bottom w:val="nil"/>
              <w:right w:val="nil"/>
            </w:tcBorders>
            <w:shd w:val="clear" w:color="auto" w:fill="auto"/>
            <w:noWrap/>
            <w:vAlign w:val="bottom"/>
          </w:tcPr>
          <w:p w:rsidR="000D6120" w:rsidRDefault="000D6120">
            <w:pPr>
              <w:rPr>
                <w:rFonts w:ascii="Arial" w:hAnsi="Arial" w:cs="Arial"/>
                <w:color w:val="000000"/>
                <w:sz w:val="20"/>
                <w:szCs w:val="20"/>
              </w:rPr>
            </w:pPr>
          </w:p>
        </w:tc>
        <w:tc>
          <w:tcPr>
            <w:tcW w:w="549" w:type="dxa"/>
            <w:tcBorders>
              <w:top w:val="nil"/>
              <w:left w:val="nil"/>
              <w:bottom w:val="nil"/>
              <w:right w:val="nil"/>
            </w:tcBorders>
            <w:shd w:val="clear" w:color="auto" w:fill="auto"/>
            <w:noWrap/>
            <w:vAlign w:val="bottom"/>
          </w:tcPr>
          <w:p w:rsidR="000D6120" w:rsidRDefault="000D6120">
            <w:pPr>
              <w:rPr>
                <w:rFonts w:ascii="Arial" w:hAnsi="Arial" w:cs="Arial"/>
                <w:color w:val="000000"/>
                <w:sz w:val="20"/>
                <w:szCs w:val="20"/>
              </w:rPr>
            </w:pPr>
          </w:p>
        </w:tc>
        <w:tc>
          <w:tcPr>
            <w:tcW w:w="549" w:type="dxa"/>
            <w:tcBorders>
              <w:top w:val="nil"/>
              <w:left w:val="nil"/>
              <w:bottom w:val="nil"/>
              <w:right w:val="nil"/>
            </w:tcBorders>
            <w:shd w:val="clear" w:color="auto" w:fill="auto"/>
            <w:noWrap/>
            <w:vAlign w:val="bottom"/>
          </w:tcPr>
          <w:p w:rsidR="000D6120" w:rsidRDefault="000D6120">
            <w:pPr>
              <w:rPr>
                <w:rFonts w:ascii="Arial" w:hAnsi="Arial" w:cs="Arial"/>
                <w:color w:val="000000"/>
                <w:sz w:val="20"/>
                <w:szCs w:val="20"/>
              </w:rPr>
            </w:pPr>
          </w:p>
        </w:tc>
        <w:tc>
          <w:tcPr>
            <w:tcW w:w="1799" w:type="dxa"/>
            <w:gridSpan w:val="3"/>
            <w:tcBorders>
              <w:top w:val="nil"/>
              <w:left w:val="nil"/>
              <w:bottom w:val="nil"/>
              <w:right w:val="nil"/>
            </w:tcBorders>
            <w:shd w:val="clear" w:color="auto" w:fill="auto"/>
            <w:noWrap/>
            <w:vAlign w:val="bottom"/>
          </w:tcPr>
          <w:p w:rsidR="000D6120" w:rsidRDefault="00245270">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0D6120">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797"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本年收入合计</w:t>
            </w:r>
          </w:p>
        </w:tc>
        <w:tc>
          <w:tcPr>
            <w:tcW w:w="797"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财政拨款收入</w:t>
            </w:r>
          </w:p>
        </w:tc>
        <w:tc>
          <w:tcPr>
            <w:tcW w:w="549"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上级补助收入</w:t>
            </w:r>
          </w:p>
        </w:tc>
        <w:tc>
          <w:tcPr>
            <w:tcW w:w="549"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事业收入</w:t>
            </w:r>
          </w:p>
        </w:tc>
        <w:tc>
          <w:tcPr>
            <w:tcW w:w="549"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经营收入</w:t>
            </w:r>
          </w:p>
        </w:tc>
        <w:tc>
          <w:tcPr>
            <w:tcW w:w="550"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附属单位上缴收入</w:t>
            </w:r>
          </w:p>
        </w:tc>
        <w:tc>
          <w:tcPr>
            <w:tcW w:w="700" w:type="dxa"/>
            <w:vMerge w:val="restart"/>
            <w:tcBorders>
              <w:top w:val="single" w:sz="4" w:space="0" w:color="000000"/>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其他收入</w:t>
            </w: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5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0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5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0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97"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49"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55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c>
          <w:tcPr>
            <w:tcW w:w="700" w:type="dxa"/>
            <w:vMerge/>
            <w:tcBorders>
              <w:top w:val="single" w:sz="4" w:space="0" w:color="000000"/>
              <w:left w:val="nil"/>
              <w:bottom w:val="single" w:sz="4" w:space="0" w:color="000000"/>
              <w:right w:val="single" w:sz="4" w:space="0" w:color="000000"/>
            </w:tcBorders>
            <w:shd w:val="clear" w:color="auto" w:fill="auto"/>
            <w:vAlign w:val="center"/>
          </w:tcPr>
          <w:p w:rsidR="000D6120" w:rsidRDefault="000D6120">
            <w:pPr>
              <w:jc w:val="center"/>
              <w:rPr>
                <w:rFonts w:ascii="宋体" w:hAnsi="宋体" w:cs="宋体"/>
                <w:color w:val="000000"/>
                <w:sz w:val="18"/>
                <w:szCs w:val="18"/>
              </w:rPr>
            </w:pPr>
          </w:p>
        </w:tc>
      </w:tr>
      <w:tr w:rsidR="000D6120">
        <w:trPr>
          <w:trHeight w:val="308"/>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0" w:type="auto"/>
            <w:tcBorders>
              <w:top w:val="nil"/>
              <w:left w:val="nil"/>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797"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797"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549"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549"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549"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550"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700" w:type="dxa"/>
            <w:tcBorders>
              <w:top w:val="nil"/>
              <w:left w:val="nil"/>
              <w:bottom w:val="single" w:sz="4" w:space="0" w:color="000000"/>
              <w:right w:val="single" w:sz="4" w:space="0" w:color="000000"/>
            </w:tcBorders>
            <w:shd w:val="clear" w:color="auto" w:fill="auto"/>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7</w:t>
            </w:r>
          </w:p>
        </w:tc>
      </w:tr>
      <w:tr w:rsidR="000D6120">
        <w:trPr>
          <w:trHeight w:val="308"/>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vAlign w:val="center"/>
          </w:tcPr>
          <w:p w:rsidR="000D6120" w:rsidRDefault="000D6120">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0" w:type="auto"/>
            <w:tcBorders>
              <w:top w:val="nil"/>
              <w:left w:val="nil"/>
              <w:bottom w:val="single" w:sz="4" w:space="0" w:color="000000"/>
              <w:right w:val="single" w:sz="4" w:space="0" w:color="000000"/>
            </w:tcBorders>
            <w:shd w:val="clear" w:color="auto" w:fill="auto"/>
            <w:noWrap/>
            <w:vAlign w:val="center"/>
          </w:tcPr>
          <w:p w:rsidR="000D6120" w:rsidRDefault="00EB7118">
            <w:pPr>
              <w:jc w:val="right"/>
              <w:textAlignment w:val="center"/>
              <w:rPr>
                <w:rFonts w:ascii="宋体" w:hAnsi="宋体" w:cs="宋体"/>
                <w:b/>
                <w:bCs/>
                <w:color w:val="000000"/>
                <w:sz w:val="18"/>
                <w:szCs w:val="18"/>
              </w:rPr>
            </w:pPr>
            <w:r>
              <w:rPr>
                <w:rFonts w:ascii="宋体" w:hAnsi="宋体" w:cs="宋体" w:hint="eastAsia"/>
                <w:b/>
                <w:bCs/>
                <w:color w:val="000000"/>
                <w:sz w:val="18"/>
                <w:szCs w:val="18"/>
              </w:rPr>
              <w:t>659.84</w:t>
            </w:r>
          </w:p>
        </w:tc>
        <w:tc>
          <w:tcPr>
            <w:tcW w:w="0" w:type="auto"/>
            <w:tcBorders>
              <w:top w:val="nil"/>
              <w:left w:val="nil"/>
              <w:bottom w:val="single" w:sz="4" w:space="0" w:color="000000"/>
              <w:right w:val="single" w:sz="4" w:space="0" w:color="000000"/>
            </w:tcBorders>
            <w:shd w:val="clear" w:color="auto" w:fill="auto"/>
            <w:noWrap/>
            <w:vAlign w:val="center"/>
          </w:tcPr>
          <w:p w:rsidR="000D6120" w:rsidRDefault="00DF2F6A">
            <w:pPr>
              <w:jc w:val="right"/>
              <w:textAlignment w:val="center"/>
              <w:rPr>
                <w:rFonts w:ascii="宋体" w:hAnsi="宋体" w:cs="宋体"/>
                <w:b/>
                <w:bCs/>
                <w:color w:val="000000"/>
                <w:sz w:val="18"/>
                <w:szCs w:val="18"/>
              </w:rPr>
            </w:pPr>
            <w:r>
              <w:rPr>
                <w:rFonts w:ascii="宋体" w:hAnsi="宋体" w:cs="宋体" w:hint="eastAsia"/>
                <w:b/>
                <w:bCs/>
                <w:color w:val="000000"/>
                <w:sz w:val="18"/>
                <w:szCs w:val="18"/>
              </w:rPr>
              <w:t>606.71</w:t>
            </w:r>
          </w:p>
        </w:tc>
        <w:tc>
          <w:tcPr>
            <w:tcW w:w="0" w:type="auto"/>
            <w:tcBorders>
              <w:top w:val="nil"/>
              <w:left w:val="nil"/>
              <w:bottom w:val="single" w:sz="4" w:space="0" w:color="000000"/>
              <w:right w:val="single" w:sz="4" w:space="0" w:color="000000"/>
            </w:tcBorders>
            <w:shd w:val="clear" w:color="auto" w:fill="auto"/>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0D6120" w:rsidRDefault="00DF2F6A">
            <w:pPr>
              <w:jc w:val="right"/>
              <w:textAlignment w:val="center"/>
              <w:rPr>
                <w:rFonts w:ascii="宋体" w:hAnsi="宋体" w:cs="宋体"/>
                <w:b/>
                <w:bCs/>
                <w:color w:val="000000"/>
                <w:sz w:val="18"/>
                <w:szCs w:val="18"/>
              </w:rPr>
            </w:pPr>
            <w:r>
              <w:rPr>
                <w:rFonts w:ascii="宋体" w:hAnsi="宋体" w:cs="宋体" w:hint="eastAsia"/>
                <w:b/>
                <w:bCs/>
                <w:color w:val="000000"/>
                <w:sz w:val="18"/>
                <w:szCs w:val="18"/>
              </w:rPr>
              <w:t>53.13</w:t>
            </w: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208</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40.73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40.73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20805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40.73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40.73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2080505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27.15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27.15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2080506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机关事业单位职业年金缴费支出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13.58</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13.58</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210</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21011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2101101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27.89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节能环保支出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562.36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562.36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53.13</w:t>
            </w: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21114</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能源管理事务</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562.36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562.36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53.13</w:t>
            </w: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2111401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295.53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295.53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2111402</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123.2</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123.2</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2111408</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能源管理</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90.5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90.5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2111499</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其他能源管理事务支出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53.13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53.13</w:t>
            </w: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221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28.86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28.86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22102</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28.86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28.86</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2210201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19.25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19.25</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r w:rsidR="00DF2F6A">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2210203</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textAlignment w:val="center"/>
              <w:rPr>
                <w:rFonts w:ascii="宋体" w:hAnsi="宋体" w:cs="宋体"/>
                <w:color w:val="000000"/>
                <w:sz w:val="18"/>
                <w:szCs w:val="18"/>
              </w:rPr>
            </w:pPr>
            <w:r>
              <w:rPr>
                <w:rFonts w:ascii="宋体" w:hAnsi="宋体" w:cs="宋体" w:hint="eastAsia"/>
                <w:color w:val="000000"/>
                <w:sz w:val="18"/>
                <w:szCs w:val="18"/>
              </w:rPr>
              <w:t xml:space="preserve">  购房补贴</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textAlignment w:val="center"/>
              <w:rPr>
                <w:rFonts w:ascii="宋体" w:hAnsi="宋体" w:cs="宋体"/>
                <w:color w:val="000000"/>
                <w:sz w:val="18"/>
                <w:szCs w:val="18"/>
              </w:rPr>
            </w:pPr>
            <w:r>
              <w:rPr>
                <w:rFonts w:ascii="宋体" w:hAnsi="宋体" w:cs="宋体" w:hint="eastAsia"/>
                <w:color w:val="000000"/>
                <w:sz w:val="18"/>
                <w:szCs w:val="18"/>
              </w:rPr>
              <w:t>9.61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rsidP="00B42376">
            <w:pPr>
              <w:jc w:val="right"/>
              <w:textAlignment w:val="center"/>
              <w:rPr>
                <w:rFonts w:ascii="宋体" w:hAnsi="宋体" w:cs="宋体"/>
                <w:color w:val="000000"/>
                <w:sz w:val="18"/>
                <w:szCs w:val="18"/>
              </w:rPr>
            </w:pPr>
            <w:r>
              <w:rPr>
                <w:rFonts w:ascii="宋体" w:hAnsi="宋体" w:cs="宋体" w:hint="eastAsia"/>
                <w:color w:val="000000"/>
                <w:sz w:val="18"/>
                <w:szCs w:val="18"/>
              </w:rPr>
              <w:t>9.61</w:t>
            </w: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vAlign w:val="center"/>
          </w:tcPr>
          <w:p w:rsidR="00DF2F6A" w:rsidRDefault="00DF2F6A">
            <w:pPr>
              <w:jc w:val="right"/>
              <w:rPr>
                <w:rFonts w:ascii="宋体" w:hAnsi="宋体" w:cs="宋体"/>
                <w:color w:val="000000"/>
                <w:sz w:val="18"/>
                <w:szCs w:val="18"/>
              </w:rPr>
            </w:pPr>
          </w:p>
        </w:tc>
      </w:tr>
    </w:tbl>
    <w:p w:rsidR="000D6120" w:rsidRDefault="000D6120">
      <w:pPr>
        <w:rPr>
          <w:rFonts w:ascii="黑体" w:eastAsia="黑体" w:hAnsi="黑体" w:cs="隶书"/>
          <w:color w:val="000000"/>
          <w:sz w:val="28"/>
          <w:szCs w:val="28"/>
        </w:rPr>
      </w:pPr>
    </w:p>
    <w:p w:rsidR="000D6120" w:rsidRDefault="000D6120">
      <w:pPr>
        <w:snapToGrid w:val="0"/>
        <w:spacing w:line="560" w:lineRule="exact"/>
        <w:jc w:val="center"/>
        <w:rPr>
          <w:rFonts w:ascii="黑体" w:eastAsia="黑体" w:hAnsi="黑体" w:cs="隶书"/>
          <w:color w:val="000000"/>
          <w:sz w:val="28"/>
          <w:szCs w:val="28"/>
        </w:rPr>
      </w:pPr>
    </w:p>
    <w:p w:rsidR="000D6120" w:rsidRDefault="000D6120">
      <w:pPr>
        <w:snapToGrid w:val="0"/>
        <w:spacing w:line="560" w:lineRule="exact"/>
        <w:jc w:val="center"/>
        <w:rPr>
          <w:rFonts w:ascii="黑体" w:eastAsia="黑体" w:hAnsi="黑体" w:cs="隶书"/>
          <w:color w:val="000000"/>
          <w:sz w:val="28"/>
          <w:szCs w:val="28"/>
        </w:rPr>
      </w:pPr>
    </w:p>
    <w:p w:rsidR="000D6120" w:rsidRDefault="000D6120">
      <w:pPr>
        <w:snapToGrid w:val="0"/>
        <w:spacing w:line="560" w:lineRule="exact"/>
        <w:jc w:val="center"/>
        <w:rPr>
          <w:rFonts w:ascii="黑体" w:eastAsia="黑体" w:hAnsi="黑体" w:cs="隶书"/>
          <w:color w:val="000000"/>
          <w:sz w:val="28"/>
          <w:szCs w:val="28"/>
        </w:rPr>
      </w:pPr>
    </w:p>
    <w:p w:rsidR="000D6120" w:rsidRDefault="000D6120">
      <w:pPr>
        <w:snapToGrid w:val="0"/>
        <w:spacing w:line="560" w:lineRule="exact"/>
        <w:jc w:val="center"/>
        <w:rPr>
          <w:rFonts w:ascii="黑体" w:eastAsia="黑体" w:hAnsi="黑体" w:cs="隶书"/>
          <w:color w:val="000000"/>
          <w:sz w:val="28"/>
          <w:szCs w:val="28"/>
        </w:rPr>
      </w:pPr>
    </w:p>
    <w:p w:rsidR="000D6120" w:rsidRDefault="000D6120">
      <w:pPr>
        <w:snapToGrid w:val="0"/>
        <w:spacing w:line="560" w:lineRule="exact"/>
        <w:jc w:val="center"/>
        <w:rPr>
          <w:rFonts w:ascii="黑体" w:eastAsia="黑体" w:hAnsi="黑体" w:cs="隶书"/>
          <w:color w:val="000000"/>
          <w:sz w:val="28"/>
          <w:szCs w:val="28"/>
        </w:rPr>
      </w:pPr>
    </w:p>
    <w:p w:rsidR="00DF2F6A" w:rsidRDefault="00DF2F6A">
      <w:pPr>
        <w:snapToGrid w:val="0"/>
        <w:spacing w:line="560" w:lineRule="exact"/>
        <w:jc w:val="center"/>
        <w:rPr>
          <w:rFonts w:ascii="黑体" w:eastAsia="黑体" w:hAnsi="黑体" w:cs="隶书"/>
          <w:color w:val="000000"/>
          <w:sz w:val="28"/>
          <w:szCs w:val="28"/>
        </w:rPr>
      </w:pPr>
    </w:p>
    <w:p w:rsidR="000D6120" w:rsidRDefault="000D6120">
      <w:pPr>
        <w:snapToGrid w:val="0"/>
        <w:spacing w:line="560" w:lineRule="exact"/>
        <w:jc w:val="both"/>
        <w:rPr>
          <w:rFonts w:ascii="黑体" w:eastAsia="黑体" w:hAnsi="黑体" w:cs="隶书"/>
          <w:color w:val="000000"/>
          <w:sz w:val="28"/>
          <w:szCs w:val="28"/>
        </w:rPr>
      </w:pPr>
    </w:p>
    <w:p w:rsidR="000D6120" w:rsidRDefault="00245270">
      <w:pPr>
        <w:snapToGrid w:val="0"/>
        <w:spacing w:line="560" w:lineRule="exact"/>
        <w:jc w:val="center"/>
        <w:rPr>
          <w:rFonts w:ascii="黑体" w:eastAsia="黑体" w:hAnsi="黑体" w:cs="隶书"/>
          <w:color w:val="000000"/>
          <w:sz w:val="44"/>
          <w:szCs w:val="44"/>
        </w:rPr>
      </w:pPr>
      <w:r>
        <w:rPr>
          <w:rFonts w:ascii="黑体" w:eastAsia="黑体" w:hAnsi="黑体" w:cs="隶书" w:hint="eastAsia"/>
          <w:color w:val="000000"/>
          <w:sz w:val="44"/>
          <w:szCs w:val="44"/>
        </w:rPr>
        <w:lastRenderedPageBreak/>
        <w:t>支出决算表</w:t>
      </w:r>
    </w:p>
    <w:p w:rsidR="000D6120" w:rsidRDefault="000D6120">
      <w:pPr>
        <w:snapToGrid w:val="0"/>
        <w:spacing w:line="560" w:lineRule="exact"/>
        <w:jc w:val="center"/>
        <w:rPr>
          <w:rFonts w:ascii="黑体" w:eastAsia="黑体" w:hAnsi="黑体" w:cs="隶书"/>
          <w:color w:val="000000"/>
          <w:sz w:val="44"/>
          <w:szCs w:val="44"/>
        </w:rPr>
      </w:pPr>
    </w:p>
    <w:p w:rsidR="000D6120" w:rsidRDefault="00245270">
      <w:pPr>
        <w:snapToGrid w:val="0"/>
        <w:spacing w:line="560" w:lineRule="exact"/>
        <w:jc w:val="right"/>
        <w:rPr>
          <w:rFonts w:ascii="黑体" w:eastAsia="黑体" w:hAnsi="黑体" w:cs="隶书"/>
          <w:color w:val="000000"/>
          <w:sz w:val="44"/>
          <w:szCs w:val="44"/>
        </w:rPr>
      </w:pPr>
      <w:r>
        <w:rPr>
          <w:rFonts w:ascii="宋体" w:hAnsi="宋体" w:cs="Arial" w:hint="eastAsia"/>
          <w:color w:val="000000"/>
          <w:sz w:val="20"/>
          <w:szCs w:val="20"/>
        </w:rPr>
        <w:t>公开03表</w:t>
      </w:r>
    </w:p>
    <w:tbl>
      <w:tblPr>
        <w:tblW w:w="9191" w:type="dxa"/>
        <w:tblInd w:w="96" w:type="dxa"/>
        <w:tblLook w:val="04A0"/>
      </w:tblPr>
      <w:tblGrid>
        <w:gridCol w:w="408"/>
        <w:gridCol w:w="408"/>
        <w:gridCol w:w="408"/>
        <w:gridCol w:w="3375"/>
        <w:gridCol w:w="782"/>
        <w:gridCol w:w="782"/>
        <w:gridCol w:w="782"/>
        <w:gridCol w:w="748"/>
        <w:gridCol w:w="749"/>
        <w:gridCol w:w="749"/>
      </w:tblGrid>
      <w:tr w:rsidR="000D6120">
        <w:trPr>
          <w:trHeight w:val="264"/>
        </w:trPr>
        <w:tc>
          <w:tcPr>
            <w:tcW w:w="4599" w:type="dxa"/>
            <w:gridSpan w:val="4"/>
            <w:tcBorders>
              <w:top w:val="nil"/>
              <w:left w:val="nil"/>
              <w:bottom w:val="nil"/>
              <w:right w:val="nil"/>
            </w:tcBorders>
            <w:shd w:val="clear" w:color="auto" w:fill="FFFFFF"/>
            <w:noWrap/>
            <w:vAlign w:val="bottom"/>
          </w:tcPr>
          <w:p w:rsidR="000D6120" w:rsidRDefault="00245270">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782"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782"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782"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2246" w:type="dxa"/>
            <w:gridSpan w:val="3"/>
            <w:tcBorders>
              <w:top w:val="nil"/>
              <w:left w:val="nil"/>
              <w:bottom w:val="nil"/>
              <w:right w:val="nil"/>
            </w:tcBorders>
            <w:shd w:val="clear" w:color="auto" w:fill="FFFFFF"/>
            <w:noWrap/>
            <w:vAlign w:val="bottom"/>
          </w:tcPr>
          <w:p w:rsidR="000D6120" w:rsidRDefault="00245270">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0D6120">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本年支出合计</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c>
          <w:tcPr>
            <w:tcW w:w="748"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上缴上级支出</w:t>
            </w:r>
          </w:p>
        </w:tc>
        <w:tc>
          <w:tcPr>
            <w:tcW w:w="749"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经营支出</w:t>
            </w:r>
          </w:p>
        </w:tc>
        <w:tc>
          <w:tcPr>
            <w:tcW w:w="749"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对附属单位补助支出</w:t>
            </w: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782"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782"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782"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748"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749"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749"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w:t>
            </w:r>
          </w:p>
        </w:tc>
      </w:tr>
      <w:tr w:rsidR="000D6120">
        <w:trPr>
          <w:trHeight w:val="308"/>
        </w:trPr>
        <w:tc>
          <w:tcPr>
            <w:tcW w:w="0" w:type="auto"/>
            <w:vMerge/>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F276EE">
            <w:pPr>
              <w:jc w:val="right"/>
              <w:textAlignment w:val="center"/>
              <w:rPr>
                <w:rFonts w:ascii="宋体" w:hAnsi="宋体" w:cs="宋体"/>
                <w:b/>
                <w:bCs/>
                <w:color w:val="000000"/>
                <w:sz w:val="18"/>
                <w:szCs w:val="18"/>
              </w:rPr>
            </w:pPr>
            <w:r>
              <w:rPr>
                <w:rFonts w:ascii="宋体" w:hAnsi="宋体" w:cs="宋体" w:hint="eastAsia"/>
                <w:b/>
                <w:bCs/>
                <w:color w:val="000000"/>
                <w:sz w:val="18"/>
                <w:szCs w:val="18"/>
              </w:rPr>
              <w:t>678.18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F276EE">
            <w:pPr>
              <w:jc w:val="right"/>
              <w:textAlignment w:val="center"/>
              <w:rPr>
                <w:rFonts w:ascii="宋体" w:hAnsi="宋体" w:cs="宋体"/>
                <w:b/>
                <w:bCs/>
                <w:color w:val="000000"/>
                <w:sz w:val="18"/>
                <w:szCs w:val="18"/>
              </w:rPr>
            </w:pPr>
            <w:r>
              <w:rPr>
                <w:rFonts w:ascii="宋体" w:hAnsi="宋体" w:cs="宋体" w:hint="eastAsia"/>
                <w:b/>
                <w:bCs/>
                <w:color w:val="000000"/>
                <w:sz w:val="18"/>
                <w:szCs w:val="18"/>
              </w:rPr>
              <w:t>409.69</w:t>
            </w:r>
          </w:p>
        </w:tc>
        <w:tc>
          <w:tcPr>
            <w:tcW w:w="0" w:type="auto"/>
            <w:tcBorders>
              <w:top w:val="nil"/>
              <w:left w:val="nil"/>
              <w:bottom w:val="single" w:sz="4" w:space="0" w:color="000000"/>
              <w:right w:val="single" w:sz="4" w:space="0" w:color="000000"/>
            </w:tcBorders>
            <w:shd w:val="clear" w:color="auto" w:fill="FFFFFF"/>
            <w:noWrap/>
            <w:vAlign w:val="center"/>
          </w:tcPr>
          <w:p w:rsidR="000D6120" w:rsidRPr="00F276EE" w:rsidRDefault="00F276EE">
            <w:pPr>
              <w:jc w:val="right"/>
              <w:textAlignment w:val="center"/>
              <w:rPr>
                <w:rFonts w:ascii="宋体" w:hAnsi="宋体" w:cs="宋体"/>
                <w:b/>
                <w:bCs/>
                <w:color w:val="000000"/>
                <w:sz w:val="18"/>
                <w:szCs w:val="18"/>
              </w:rPr>
            </w:pPr>
            <w:r w:rsidRPr="00F276EE">
              <w:rPr>
                <w:rFonts w:ascii="宋体" w:hAnsi="宋体" w:cs="宋体" w:hint="eastAsia"/>
                <w:b/>
                <w:color w:val="000000"/>
                <w:sz w:val="18"/>
                <w:szCs w:val="18"/>
              </w:rPr>
              <w:t>268.48</w:t>
            </w: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b/>
                <w:bCs/>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208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20805</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2080505</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26.91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26.91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2080506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18.12</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18.12</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210</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21011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2101101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行政单位医疗</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节能环保支出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568.31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268.48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21114</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能源管理事务</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568.31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268.48</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2111401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2111402</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126.56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126.56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BC6A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2111407</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能源行业管理</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3.43</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3.43</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2111408</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能源管理</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90.50</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90.50</w:t>
            </w: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2111499</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其他能源管理事务支出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47.99</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0</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47.99</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221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22102</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2210201</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20.40</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20.40</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r w:rsidR="00F276EE">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2210203</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textAlignment w:val="center"/>
              <w:rPr>
                <w:rFonts w:ascii="宋体" w:hAnsi="宋体" w:cs="宋体"/>
                <w:color w:val="000000"/>
                <w:sz w:val="18"/>
                <w:szCs w:val="18"/>
              </w:rPr>
            </w:pPr>
            <w:r>
              <w:rPr>
                <w:rFonts w:ascii="宋体" w:hAnsi="宋体" w:cs="宋体" w:hint="eastAsia"/>
                <w:color w:val="000000"/>
                <w:sz w:val="18"/>
                <w:szCs w:val="18"/>
              </w:rPr>
              <w:t xml:space="preserve">  购房补贴</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9.85</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rsidP="00A22E50">
            <w:pPr>
              <w:jc w:val="right"/>
              <w:textAlignment w:val="center"/>
              <w:rPr>
                <w:rFonts w:ascii="宋体" w:hAnsi="宋体" w:cs="宋体"/>
                <w:color w:val="000000"/>
                <w:sz w:val="18"/>
                <w:szCs w:val="18"/>
              </w:rPr>
            </w:pPr>
            <w:r>
              <w:rPr>
                <w:rFonts w:ascii="宋体" w:hAnsi="宋体" w:cs="宋体" w:hint="eastAsia"/>
                <w:color w:val="000000"/>
                <w:sz w:val="18"/>
                <w:szCs w:val="18"/>
              </w:rPr>
              <w:t>9.85</w:t>
            </w: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276EE" w:rsidRDefault="00F276EE">
            <w:pPr>
              <w:jc w:val="right"/>
              <w:rPr>
                <w:rFonts w:ascii="宋体" w:hAnsi="宋体" w:cs="宋体"/>
                <w:color w:val="000000"/>
                <w:sz w:val="18"/>
                <w:szCs w:val="18"/>
              </w:rPr>
            </w:pPr>
          </w:p>
        </w:tc>
      </w:tr>
    </w:tbl>
    <w:p w:rsidR="000D6120" w:rsidRDefault="000D6120">
      <w:pPr>
        <w:ind w:leftChars="-400" w:left="-960" w:rightChars="-320" w:right="-768"/>
        <w:jc w:val="center"/>
        <w:rPr>
          <w:rFonts w:ascii="黑体" w:eastAsia="黑体" w:hAnsi="黑体" w:cs="隶书"/>
          <w:color w:val="000000"/>
          <w:sz w:val="28"/>
          <w:szCs w:val="28"/>
        </w:rPr>
      </w:pPr>
    </w:p>
    <w:p w:rsidR="000D6120" w:rsidRDefault="00245270">
      <w:r>
        <w:br w:type="page"/>
      </w:r>
    </w:p>
    <w:tbl>
      <w:tblPr>
        <w:tblW w:w="11130" w:type="dxa"/>
        <w:tblInd w:w="-1275" w:type="dxa"/>
        <w:tblLayout w:type="fixed"/>
        <w:tblLook w:val="04A0"/>
      </w:tblPr>
      <w:tblGrid>
        <w:gridCol w:w="11130"/>
      </w:tblGrid>
      <w:tr w:rsidR="000D6120">
        <w:trPr>
          <w:trHeight w:val="300"/>
        </w:trPr>
        <w:tc>
          <w:tcPr>
            <w:tcW w:w="11130" w:type="dxa"/>
            <w:tcBorders>
              <w:top w:val="nil"/>
              <w:left w:val="nil"/>
              <w:bottom w:val="nil"/>
              <w:right w:val="nil"/>
            </w:tcBorders>
            <w:shd w:val="clear" w:color="auto" w:fill="auto"/>
            <w:noWrap/>
            <w:vAlign w:val="bottom"/>
          </w:tcPr>
          <w:p w:rsidR="000D6120" w:rsidRDefault="00245270">
            <w:pPr>
              <w:ind w:firstLineChars="600" w:firstLine="2640"/>
              <w:jc w:val="both"/>
              <w:rPr>
                <w:rFonts w:ascii="黑体" w:eastAsia="黑体" w:hAnsi="黑体" w:cs="Arial"/>
                <w:color w:val="000000"/>
                <w:sz w:val="44"/>
                <w:szCs w:val="44"/>
              </w:rPr>
            </w:pPr>
            <w:r>
              <w:rPr>
                <w:rFonts w:ascii="黑体" w:eastAsia="黑体" w:hAnsi="黑体" w:cs="Arial" w:hint="eastAsia"/>
                <w:color w:val="000000"/>
                <w:sz w:val="44"/>
                <w:szCs w:val="44"/>
              </w:rPr>
              <w:lastRenderedPageBreak/>
              <w:t>财政拨款收入支出决算总表</w:t>
            </w:r>
          </w:p>
          <w:p w:rsidR="000D6120" w:rsidRDefault="000D6120">
            <w:pPr>
              <w:jc w:val="center"/>
              <w:rPr>
                <w:rFonts w:ascii="黑体" w:eastAsia="黑体" w:hAnsi="黑体" w:cs="Arial"/>
                <w:color w:val="000000"/>
                <w:sz w:val="28"/>
                <w:szCs w:val="28"/>
              </w:rPr>
            </w:pPr>
          </w:p>
          <w:p w:rsidR="000D6120" w:rsidRDefault="00245270">
            <w:pPr>
              <w:jc w:val="right"/>
              <w:rPr>
                <w:rFonts w:ascii="黑体" w:eastAsia="黑体" w:hAnsi="黑体" w:cs="Arial"/>
                <w:color w:val="000000"/>
                <w:sz w:val="28"/>
                <w:szCs w:val="28"/>
              </w:rPr>
            </w:pPr>
            <w:r>
              <w:rPr>
                <w:rFonts w:ascii="宋体" w:hAnsi="宋体" w:cs="Arial" w:hint="eastAsia"/>
                <w:color w:val="000000"/>
                <w:sz w:val="20"/>
                <w:szCs w:val="20"/>
              </w:rPr>
              <w:t>公开04表</w:t>
            </w:r>
          </w:p>
          <w:tbl>
            <w:tblPr>
              <w:tblW w:w="10914" w:type="dxa"/>
              <w:tblLayout w:type="fixed"/>
              <w:tblLook w:val="04A0"/>
            </w:tblPr>
            <w:tblGrid>
              <w:gridCol w:w="2093"/>
              <w:gridCol w:w="613"/>
              <w:gridCol w:w="854"/>
              <w:gridCol w:w="2906"/>
              <w:gridCol w:w="640"/>
              <w:gridCol w:w="1027"/>
              <w:gridCol w:w="1040"/>
              <w:gridCol w:w="840"/>
              <w:gridCol w:w="901"/>
            </w:tblGrid>
            <w:tr w:rsidR="000D6120" w:rsidTr="00BC6A65">
              <w:trPr>
                <w:trHeight w:val="264"/>
              </w:trPr>
              <w:tc>
                <w:tcPr>
                  <w:tcW w:w="6466" w:type="dxa"/>
                  <w:gridSpan w:val="4"/>
                  <w:tcBorders>
                    <w:top w:val="nil"/>
                    <w:left w:val="nil"/>
                    <w:bottom w:val="nil"/>
                    <w:right w:val="nil"/>
                  </w:tcBorders>
                  <w:shd w:val="clear" w:color="auto" w:fill="FFFFFF"/>
                  <w:noWrap/>
                  <w:vAlign w:val="bottom"/>
                </w:tcPr>
                <w:p w:rsidR="000D6120" w:rsidRDefault="00245270">
                  <w:pPr>
                    <w:rPr>
                      <w:rFonts w:ascii="Arial" w:hAnsi="Arial" w:cs="Arial"/>
                      <w:color w:val="000000"/>
                      <w:sz w:val="18"/>
                      <w:szCs w:val="18"/>
                    </w:rPr>
                  </w:pPr>
                  <w:r>
                    <w:rPr>
                      <w:rFonts w:ascii="宋体" w:hAnsi="宋体" w:cs="宋体" w:hint="eastAsia"/>
                      <w:color w:val="000000"/>
                      <w:sz w:val="18"/>
                      <w:szCs w:val="18"/>
                    </w:rPr>
                    <w:t>部门：国家能源局新疆监管办公室</w:t>
                  </w:r>
                </w:p>
              </w:tc>
              <w:tc>
                <w:tcPr>
                  <w:tcW w:w="640" w:type="dxa"/>
                  <w:tcBorders>
                    <w:top w:val="nil"/>
                    <w:left w:val="nil"/>
                    <w:bottom w:val="nil"/>
                    <w:right w:val="nil"/>
                  </w:tcBorders>
                  <w:shd w:val="clear" w:color="auto" w:fill="FFFFFF"/>
                  <w:noWrap/>
                  <w:vAlign w:val="bottom"/>
                </w:tcPr>
                <w:p w:rsidR="000D6120" w:rsidRDefault="000D6120">
                  <w:pPr>
                    <w:rPr>
                      <w:rFonts w:ascii="Arial" w:hAnsi="Arial" w:cs="Arial"/>
                      <w:color w:val="000000"/>
                      <w:sz w:val="18"/>
                      <w:szCs w:val="18"/>
                    </w:rPr>
                  </w:pPr>
                </w:p>
              </w:tc>
              <w:tc>
                <w:tcPr>
                  <w:tcW w:w="2067" w:type="dxa"/>
                  <w:gridSpan w:val="2"/>
                  <w:tcBorders>
                    <w:top w:val="nil"/>
                    <w:left w:val="nil"/>
                    <w:bottom w:val="nil"/>
                    <w:right w:val="nil"/>
                  </w:tcBorders>
                  <w:shd w:val="clear" w:color="auto" w:fill="FFFFFF"/>
                  <w:noWrap/>
                  <w:vAlign w:val="bottom"/>
                </w:tcPr>
                <w:p w:rsidR="000D6120" w:rsidRDefault="000D6120">
                  <w:pPr>
                    <w:rPr>
                      <w:rFonts w:ascii="Arial" w:hAnsi="Arial" w:cs="Arial"/>
                      <w:color w:val="000000"/>
                      <w:sz w:val="18"/>
                      <w:szCs w:val="18"/>
                    </w:rPr>
                  </w:pPr>
                </w:p>
              </w:tc>
              <w:tc>
                <w:tcPr>
                  <w:tcW w:w="1741" w:type="dxa"/>
                  <w:gridSpan w:val="2"/>
                  <w:tcBorders>
                    <w:top w:val="nil"/>
                    <w:left w:val="nil"/>
                    <w:bottom w:val="nil"/>
                    <w:right w:val="nil"/>
                  </w:tcBorders>
                  <w:shd w:val="clear" w:color="auto" w:fill="FFFFFF"/>
                  <w:noWrap/>
                  <w:vAlign w:val="bottom"/>
                </w:tcPr>
                <w:p w:rsidR="000D6120" w:rsidRDefault="00245270">
                  <w:pPr>
                    <w:jc w:val="right"/>
                    <w:textAlignment w:val="bottom"/>
                    <w:rPr>
                      <w:rFonts w:ascii="宋体" w:hAnsi="宋体" w:cs="宋体"/>
                      <w:color w:val="000000"/>
                      <w:sz w:val="18"/>
                      <w:szCs w:val="18"/>
                    </w:rPr>
                  </w:pPr>
                  <w:r>
                    <w:rPr>
                      <w:rFonts w:ascii="宋体" w:hAnsi="宋体" w:cs="宋体" w:hint="eastAsia"/>
                      <w:color w:val="000000"/>
                      <w:sz w:val="18"/>
                      <w:szCs w:val="18"/>
                    </w:rPr>
                    <w:t>金额单位：万元</w:t>
                  </w:r>
                </w:p>
              </w:tc>
            </w:tr>
            <w:tr w:rsidR="000D6120">
              <w:trPr>
                <w:trHeight w:val="308"/>
              </w:trPr>
              <w:tc>
                <w:tcPr>
                  <w:tcW w:w="356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收     入</w:t>
                  </w:r>
                </w:p>
              </w:tc>
              <w:tc>
                <w:tcPr>
                  <w:tcW w:w="7354" w:type="dxa"/>
                  <w:gridSpan w:val="6"/>
                  <w:tcBorders>
                    <w:top w:val="single" w:sz="4" w:space="0" w:color="000000"/>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支     出</w:t>
                  </w:r>
                </w:p>
              </w:tc>
            </w:tr>
            <w:tr w:rsidR="000D6120">
              <w:trPr>
                <w:trHeight w:val="292"/>
              </w:trPr>
              <w:tc>
                <w:tcPr>
                  <w:tcW w:w="2093" w:type="dxa"/>
                  <w:vMerge w:val="restart"/>
                  <w:tcBorders>
                    <w:top w:val="nil"/>
                    <w:left w:val="single" w:sz="4" w:space="0" w:color="000000"/>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613"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854"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c>
                <w:tcPr>
                  <w:tcW w:w="2906"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640"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1027" w:type="dxa"/>
                  <w:vMerge w:val="restart"/>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040"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一般公共预算财政拨款</w:t>
                  </w:r>
                </w:p>
              </w:tc>
              <w:tc>
                <w:tcPr>
                  <w:tcW w:w="840"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政府性基金预算财政拨款</w:t>
                  </w:r>
                </w:p>
              </w:tc>
              <w:tc>
                <w:tcPr>
                  <w:tcW w:w="901"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国有资本经营预算财政拨款</w:t>
                  </w:r>
                </w:p>
              </w:tc>
            </w:tr>
            <w:tr w:rsidR="000D6120">
              <w:trPr>
                <w:trHeight w:val="615"/>
              </w:trPr>
              <w:tc>
                <w:tcPr>
                  <w:tcW w:w="2093" w:type="dxa"/>
                  <w:vMerge/>
                  <w:tcBorders>
                    <w:top w:val="nil"/>
                    <w:left w:val="single" w:sz="4" w:space="0" w:color="000000"/>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613"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854"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2906"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640"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027" w:type="dxa"/>
                  <w:vMerge/>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1040"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840"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901"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854"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color w:val="000000"/>
                      <w:sz w:val="18"/>
                      <w:szCs w:val="18"/>
                    </w:rPr>
                  </w:pPr>
                </w:p>
              </w:tc>
              <w:tc>
                <w:tcPr>
                  <w:tcW w:w="1027"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0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8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901"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一、一般公共预算财政拨款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606.71</w:t>
                  </w: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一、一般公共服务支出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二、政府性基金预算财政拨款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二、外交支出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三、国有资本经营预算财政拨款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三、国防支出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四、公共安全支出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五、教育支出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37</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六、科学技术支出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七、文化旅游体育与传媒支出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39</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八、社会保障和就业支出</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40</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九、卫生健康支出</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41</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十、节能环保支出</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42</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520.32</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520.32</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十一、城乡社区支出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43</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十二、农林水支出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十三、交通运输支出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45</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十四、资源勘探工业信息等支出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46</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十五、商业服务业等支出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47</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十六、金融支出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十七、援助其他地区支出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49</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十八、自然资源海洋气象等支出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十九、住房保障支出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51</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F276EE">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二十、粮油物资储备支出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52</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21</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二十一、国有资本经营预算支出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53</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22</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二十二、灾害防治及应急管理支出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54</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23</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二十三、其他支出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jc w:val="center"/>
                    <w:rPr>
                      <w:rFonts w:ascii="宋体" w:hAnsi="宋体" w:cs="宋体"/>
                      <w:b/>
                      <w:bCs/>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二十四、债务还本支出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二十五、债务付息支出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57</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0D612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854"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二十六、抗疫特别国债安排的支出</w:t>
                  </w:r>
                </w:p>
              </w:tc>
              <w:tc>
                <w:tcPr>
                  <w:tcW w:w="64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58</w:t>
                  </w:r>
                </w:p>
              </w:tc>
              <w:tc>
                <w:tcPr>
                  <w:tcW w:w="1027"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本年收入合计</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606.71</w:t>
                  </w: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本年支出合计</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59</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630.18</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630.18</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年初结转和结余</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60.14</w:t>
                  </w: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年末结转和结余</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60</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36.66</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36.66</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一般公共预算财政拨款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60.14</w:t>
                  </w: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61</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政府性基金预算财政拨款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62</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国有资本经营预算财政拨款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31</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63</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613"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854"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666.85</w:t>
                  </w:r>
                </w:p>
              </w:tc>
              <w:tc>
                <w:tcPr>
                  <w:tcW w:w="2906"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640" w:type="dxa"/>
                  <w:tcBorders>
                    <w:top w:val="nil"/>
                    <w:left w:val="nil"/>
                    <w:bottom w:val="single" w:sz="4" w:space="0" w:color="000000"/>
                    <w:right w:val="single" w:sz="4" w:space="0" w:color="000000"/>
                  </w:tcBorders>
                  <w:shd w:val="clear" w:color="FFFFFF" w:fill="FFFFFF"/>
                  <w:noWrap/>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1027"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666.85</w:t>
                  </w:r>
                </w:p>
              </w:tc>
              <w:tc>
                <w:tcPr>
                  <w:tcW w:w="104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666.85</w:t>
                  </w:r>
                </w:p>
              </w:tc>
              <w:tc>
                <w:tcPr>
                  <w:tcW w:w="84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bl>
          <w:p w:rsidR="000D6120" w:rsidRDefault="000D6120">
            <w:pPr>
              <w:jc w:val="center"/>
              <w:rPr>
                <w:rFonts w:ascii="黑体" w:eastAsia="黑体" w:hAnsi="黑体" w:cs="Arial"/>
                <w:color w:val="000000"/>
                <w:sz w:val="28"/>
                <w:szCs w:val="28"/>
              </w:rPr>
            </w:pPr>
          </w:p>
        </w:tc>
      </w:tr>
    </w:tbl>
    <w:p w:rsidR="000D6120" w:rsidRDefault="00245270">
      <w:pPr>
        <w:rPr>
          <w:rFonts w:ascii="仿宋" w:eastAsia="仿宋" w:hAnsi="仿宋" w:cs="宋体"/>
          <w:sz w:val="32"/>
          <w:szCs w:val="32"/>
        </w:rPr>
      </w:pPr>
      <w:r>
        <w:rPr>
          <w:rFonts w:ascii="宋体" w:hAnsi="宋体" w:cs="宋体" w:hint="eastAsia"/>
          <w:color w:val="000000"/>
          <w:sz w:val="16"/>
          <w:szCs w:val="16"/>
        </w:rPr>
        <w:t>注：本表反映本年度一般公共预算财政拨款、政府性基金预算财政拨款和国有资本经营预算财政拨款的总收支和年末结转结余情况</w:t>
      </w:r>
    </w:p>
    <w:p w:rsidR="000D6120" w:rsidRDefault="00245270">
      <w:r>
        <w:br w:type="page"/>
      </w:r>
    </w:p>
    <w:tbl>
      <w:tblPr>
        <w:tblW w:w="10965" w:type="dxa"/>
        <w:tblInd w:w="-1146" w:type="dxa"/>
        <w:tblLayout w:type="fixed"/>
        <w:tblCellMar>
          <w:left w:w="0" w:type="dxa"/>
          <w:right w:w="0" w:type="dxa"/>
        </w:tblCellMar>
        <w:tblLook w:val="04A0"/>
      </w:tblPr>
      <w:tblGrid>
        <w:gridCol w:w="10965"/>
      </w:tblGrid>
      <w:tr w:rsidR="000D6120">
        <w:trPr>
          <w:trHeight w:val="390"/>
        </w:trPr>
        <w:tc>
          <w:tcPr>
            <w:tcW w:w="10965" w:type="dxa"/>
            <w:tcBorders>
              <w:top w:val="nil"/>
              <w:left w:val="nil"/>
              <w:bottom w:val="nil"/>
              <w:right w:val="nil"/>
            </w:tcBorders>
            <w:shd w:val="clear" w:color="auto" w:fill="auto"/>
            <w:noWrap/>
            <w:tcMar>
              <w:top w:w="15" w:type="dxa"/>
              <w:left w:w="15" w:type="dxa"/>
              <w:right w:w="15" w:type="dxa"/>
            </w:tcMar>
            <w:vAlign w:val="bottom"/>
          </w:tcPr>
          <w:p w:rsidR="000D6120" w:rsidRDefault="000D6120">
            <w:pPr>
              <w:jc w:val="both"/>
              <w:rPr>
                <w:rFonts w:ascii="黑体" w:eastAsia="黑体" w:hAnsi="黑体" w:cs="宋体"/>
                <w:sz w:val="28"/>
                <w:szCs w:val="28"/>
              </w:rPr>
            </w:pPr>
          </w:p>
          <w:p w:rsidR="000D6120" w:rsidRDefault="00245270">
            <w:pPr>
              <w:jc w:val="center"/>
              <w:rPr>
                <w:rFonts w:ascii="黑体" w:eastAsia="黑体" w:hAnsi="黑体" w:cs="宋体"/>
                <w:sz w:val="44"/>
                <w:szCs w:val="44"/>
              </w:rPr>
            </w:pPr>
            <w:r>
              <w:rPr>
                <w:rFonts w:ascii="黑体" w:eastAsia="黑体" w:hAnsi="黑体" w:cs="宋体" w:hint="eastAsia"/>
                <w:sz w:val="44"/>
                <w:szCs w:val="44"/>
              </w:rPr>
              <w:t>一般公共预算财政拨款支出决算表</w:t>
            </w:r>
          </w:p>
          <w:p w:rsidR="000D6120" w:rsidRDefault="000D6120">
            <w:pPr>
              <w:jc w:val="center"/>
              <w:rPr>
                <w:rFonts w:ascii="黑体" w:eastAsia="黑体" w:hAnsi="黑体" w:cs="宋体"/>
                <w:sz w:val="44"/>
                <w:szCs w:val="44"/>
              </w:rPr>
            </w:pPr>
          </w:p>
          <w:p w:rsidR="000D6120" w:rsidRDefault="00245270">
            <w:pPr>
              <w:jc w:val="center"/>
              <w:rPr>
                <w:rFonts w:ascii="Arial" w:hAnsi="Arial" w:cs="Arial"/>
                <w:color w:val="000000"/>
                <w:sz w:val="20"/>
                <w:szCs w:val="20"/>
              </w:rPr>
            </w:pPr>
            <w:r>
              <w:rPr>
                <w:rFonts w:ascii="宋体" w:hAnsi="宋体" w:cs="Arial" w:hint="eastAsia"/>
                <w:color w:val="000000"/>
                <w:sz w:val="20"/>
                <w:szCs w:val="20"/>
              </w:rPr>
              <w:t>公开05表</w:t>
            </w:r>
          </w:p>
          <w:tbl>
            <w:tblPr>
              <w:tblW w:w="9944" w:type="dxa"/>
              <w:tblLayout w:type="fixed"/>
              <w:tblLook w:val="04A0"/>
            </w:tblPr>
            <w:tblGrid>
              <w:gridCol w:w="339"/>
              <w:gridCol w:w="339"/>
              <w:gridCol w:w="339"/>
              <w:gridCol w:w="3834"/>
              <w:gridCol w:w="1728"/>
              <w:gridCol w:w="1285"/>
              <w:gridCol w:w="2080"/>
            </w:tblGrid>
            <w:tr w:rsidR="000D6120" w:rsidTr="00BC6A65">
              <w:trPr>
                <w:trHeight w:val="264"/>
              </w:trPr>
              <w:tc>
                <w:tcPr>
                  <w:tcW w:w="4851" w:type="dxa"/>
                  <w:gridSpan w:val="4"/>
                  <w:tcBorders>
                    <w:top w:val="nil"/>
                    <w:left w:val="nil"/>
                    <w:bottom w:val="nil"/>
                    <w:right w:val="nil"/>
                  </w:tcBorders>
                  <w:shd w:val="clear" w:color="auto" w:fill="FFFFFF"/>
                  <w:noWrap/>
                  <w:vAlign w:val="bottom"/>
                </w:tcPr>
                <w:p w:rsidR="000D6120" w:rsidRDefault="00245270">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1728"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1285" w:type="dxa"/>
                  <w:tcBorders>
                    <w:top w:val="nil"/>
                    <w:left w:val="nil"/>
                    <w:bottom w:val="nil"/>
                    <w:right w:val="nil"/>
                  </w:tcBorders>
                  <w:shd w:val="clear" w:color="auto" w:fill="FFFFFF"/>
                  <w:noWrap/>
                  <w:vAlign w:val="bottom"/>
                </w:tcPr>
                <w:p w:rsidR="000D6120" w:rsidRDefault="000D6120">
                  <w:pPr>
                    <w:rPr>
                      <w:rFonts w:ascii="Arial" w:hAnsi="Arial" w:cs="Arial"/>
                      <w:color w:val="000000"/>
                      <w:sz w:val="20"/>
                      <w:szCs w:val="20"/>
                    </w:rPr>
                  </w:pPr>
                </w:p>
              </w:tc>
              <w:tc>
                <w:tcPr>
                  <w:tcW w:w="2080" w:type="dxa"/>
                  <w:tcBorders>
                    <w:top w:val="nil"/>
                    <w:left w:val="nil"/>
                    <w:bottom w:val="nil"/>
                    <w:right w:val="nil"/>
                  </w:tcBorders>
                  <w:shd w:val="clear" w:color="auto" w:fill="FFFFFF"/>
                  <w:noWrap/>
                  <w:vAlign w:val="bottom"/>
                </w:tcPr>
                <w:p w:rsidR="000D6120" w:rsidRDefault="00245270">
                  <w:pPr>
                    <w:rPr>
                      <w:rFonts w:ascii="Arial" w:hAnsi="Arial" w:cs="Arial"/>
                      <w:color w:val="000000"/>
                      <w:sz w:val="20"/>
                      <w:szCs w:val="20"/>
                    </w:rPr>
                  </w:pPr>
                  <w:r>
                    <w:rPr>
                      <w:rFonts w:ascii="宋体" w:hAnsi="宋体" w:cs="宋体" w:hint="eastAsia"/>
                      <w:color w:val="000000"/>
                      <w:sz w:val="18"/>
                      <w:szCs w:val="18"/>
                    </w:rPr>
                    <w:t>金额单位：万元</w:t>
                  </w:r>
                </w:p>
              </w:tc>
            </w:tr>
            <w:tr w:rsidR="000D6120">
              <w:trPr>
                <w:trHeight w:val="308"/>
              </w:trPr>
              <w:tc>
                <w:tcPr>
                  <w:tcW w:w="10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3834"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5093" w:type="dxa"/>
                  <w:gridSpan w:val="3"/>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本年支出</w:t>
                  </w:r>
                </w:p>
              </w:tc>
            </w:tr>
            <w:tr w:rsidR="000D6120">
              <w:trPr>
                <w:trHeight w:val="308"/>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728"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285"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2080"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r>
            <w:tr w:rsidR="000D6120">
              <w:trPr>
                <w:trHeight w:val="277"/>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728"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285"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2080"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615"/>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728"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285"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2080"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339" w:type="dxa"/>
                  <w:vMerge w:val="restart"/>
                  <w:tcBorders>
                    <w:top w:val="nil"/>
                    <w:left w:val="single" w:sz="4" w:space="0" w:color="000000"/>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339"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339"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3834" w:type="dxa"/>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1728"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285"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2080"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9</w:t>
                  </w:r>
                </w:p>
              </w:tc>
            </w:tr>
            <w:tr w:rsidR="00BC6A65">
              <w:trPr>
                <w:trHeight w:val="308"/>
              </w:trPr>
              <w:tc>
                <w:tcPr>
                  <w:tcW w:w="339" w:type="dxa"/>
                  <w:vMerge/>
                  <w:tcBorders>
                    <w:top w:val="nil"/>
                    <w:left w:val="single" w:sz="4" w:space="0" w:color="000000"/>
                    <w:bottom w:val="single" w:sz="4" w:space="0" w:color="000000"/>
                    <w:right w:val="single" w:sz="4" w:space="0" w:color="000000"/>
                  </w:tcBorders>
                  <w:shd w:val="clear" w:color="FFFFFF" w:fill="FFFFFF"/>
                  <w:vAlign w:val="center"/>
                </w:tcPr>
                <w:p w:rsidR="00BC6A65" w:rsidRDefault="00BC6A65">
                  <w:pPr>
                    <w:jc w:val="center"/>
                    <w:rPr>
                      <w:rFonts w:ascii="宋体" w:hAnsi="宋体" w:cs="宋体"/>
                      <w:color w:val="000000"/>
                      <w:sz w:val="18"/>
                      <w:szCs w:val="18"/>
                    </w:rPr>
                  </w:pPr>
                </w:p>
              </w:tc>
              <w:tc>
                <w:tcPr>
                  <w:tcW w:w="339" w:type="dxa"/>
                  <w:vMerge/>
                  <w:tcBorders>
                    <w:top w:val="nil"/>
                    <w:left w:val="nil"/>
                    <w:bottom w:val="single" w:sz="4" w:space="0" w:color="000000"/>
                    <w:right w:val="single" w:sz="4" w:space="0" w:color="000000"/>
                  </w:tcBorders>
                  <w:shd w:val="clear" w:color="FFFFFF" w:fill="FFFFFF"/>
                  <w:vAlign w:val="center"/>
                </w:tcPr>
                <w:p w:rsidR="00BC6A65" w:rsidRDefault="00BC6A65">
                  <w:pPr>
                    <w:jc w:val="center"/>
                    <w:rPr>
                      <w:rFonts w:ascii="宋体" w:hAnsi="宋体" w:cs="宋体"/>
                      <w:color w:val="000000"/>
                      <w:sz w:val="18"/>
                      <w:szCs w:val="18"/>
                    </w:rPr>
                  </w:pPr>
                </w:p>
              </w:tc>
              <w:tc>
                <w:tcPr>
                  <w:tcW w:w="339" w:type="dxa"/>
                  <w:vMerge/>
                  <w:tcBorders>
                    <w:top w:val="nil"/>
                    <w:left w:val="nil"/>
                    <w:bottom w:val="single" w:sz="4" w:space="0" w:color="000000"/>
                    <w:right w:val="single" w:sz="4" w:space="0" w:color="000000"/>
                  </w:tcBorders>
                  <w:shd w:val="clear" w:color="FFFFFF" w:fill="FFFFFF"/>
                  <w:vAlign w:val="center"/>
                </w:tcPr>
                <w:p w:rsidR="00BC6A65" w:rsidRDefault="00BC6A65">
                  <w:pPr>
                    <w:jc w:val="center"/>
                    <w:rPr>
                      <w:rFonts w:ascii="宋体" w:hAnsi="宋体" w:cs="宋体"/>
                      <w:color w:val="000000"/>
                      <w:sz w:val="18"/>
                      <w:szCs w:val="18"/>
                    </w:rPr>
                  </w:pPr>
                </w:p>
              </w:tc>
              <w:tc>
                <w:tcPr>
                  <w:tcW w:w="3834" w:type="dxa"/>
                  <w:tcBorders>
                    <w:top w:val="nil"/>
                    <w:left w:val="nil"/>
                    <w:bottom w:val="single" w:sz="4" w:space="0" w:color="000000"/>
                    <w:right w:val="single" w:sz="4" w:space="0" w:color="000000"/>
                  </w:tcBorders>
                  <w:shd w:val="clear" w:color="FFFFFF" w:fill="FFFFFF"/>
                  <w:vAlign w:val="center"/>
                </w:tcPr>
                <w:p w:rsidR="00BC6A65" w:rsidRDefault="00BC6A65">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b/>
                      <w:bCs/>
                      <w:color w:val="000000"/>
                      <w:sz w:val="18"/>
                      <w:szCs w:val="18"/>
                    </w:rPr>
                  </w:pPr>
                  <w:r>
                    <w:rPr>
                      <w:rFonts w:ascii="宋体" w:hAnsi="宋体" w:cs="宋体" w:hint="eastAsia"/>
                      <w:b/>
                      <w:bCs/>
                      <w:color w:val="000000"/>
                      <w:sz w:val="18"/>
                      <w:szCs w:val="18"/>
                    </w:rPr>
                    <w:t>630.18</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b/>
                      <w:bCs/>
                      <w:color w:val="000000"/>
                      <w:sz w:val="18"/>
                      <w:szCs w:val="18"/>
                    </w:rPr>
                  </w:pPr>
                  <w:r>
                    <w:rPr>
                      <w:rFonts w:ascii="宋体" w:hAnsi="宋体" w:cs="宋体" w:hint="eastAsia"/>
                      <w:b/>
                      <w:bCs/>
                      <w:color w:val="000000"/>
                      <w:sz w:val="18"/>
                      <w:szCs w:val="18"/>
                    </w:rPr>
                    <w:t>409.69</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DF554A">
                  <w:pPr>
                    <w:jc w:val="right"/>
                    <w:textAlignment w:val="center"/>
                    <w:rPr>
                      <w:rFonts w:ascii="宋体" w:hAnsi="宋体" w:cs="宋体"/>
                      <w:b/>
                      <w:bCs/>
                      <w:color w:val="000000"/>
                      <w:sz w:val="18"/>
                      <w:szCs w:val="18"/>
                    </w:rPr>
                  </w:pPr>
                  <w:r>
                    <w:rPr>
                      <w:rFonts w:ascii="宋体" w:hAnsi="宋体" w:cs="宋体" w:hint="eastAsia"/>
                      <w:b/>
                      <w:bCs/>
                      <w:color w:val="000000"/>
                      <w:sz w:val="18"/>
                      <w:szCs w:val="18"/>
                    </w:rPr>
                    <w:t>220.49</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208</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社会保障和就业支出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20805</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行政事业单位养老支出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45.03</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2080505</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机关事业单位基本养老保险缴费支出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26.91</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26.91</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2080506</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机关事业单位职业年金缴费支出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18.12</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18.12</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210</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卫生健康支出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21011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行政事业单位医疗</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2101101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行政单位医疗</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34.58</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节能环保支出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520.32</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w:t>
                  </w:r>
                  <w:r w:rsidR="00DF554A">
                    <w:rPr>
                      <w:rFonts w:ascii="宋体" w:hAnsi="宋体" w:cs="宋体" w:hint="eastAsia"/>
                      <w:color w:val="000000"/>
                      <w:sz w:val="18"/>
                      <w:szCs w:val="18"/>
                    </w:rPr>
                    <w:t>99.83</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DF554A" w:rsidP="00A22E50">
                  <w:pPr>
                    <w:jc w:val="right"/>
                    <w:textAlignment w:val="center"/>
                    <w:rPr>
                      <w:rFonts w:ascii="宋体" w:hAnsi="宋体" w:cs="宋体"/>
                      <w:color w:val="000000"/>
                      <w:sz w:val="18"/>
                      <w:szCs w:val="18"/>
                    </w:rPr>
                  </w:pPr>
                  <w:r>
                    <w:rPr>
                      <w:rFonts w:ascii="宋体" w:hAnsi="宋体" w:cs="宋体" w:hint="eastAsia"/>
                      <w:color w:val="000000"/>
                      <w:sz w:val="18"/>
                      <w:szCs w:val="18"/>
                    </w:rPr>
                    <w:t>220.49</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能源管理事务</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520.32</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w:t>
                  </w:r>
                  <w:r w:rsidR="00DF554A">
                    <w:rPr>
                      <w:rFonts w:ascii="宋体" w:hAnsi="宋体" w:cs="宋体" w:hint="eastAsia"/>
                      <w:color w:val="000000"/>
                      <w:sz w:val="18"/>
                      <w:szCs w:val="18"/>
                    </w:rPr>
                    <w:t>99.83</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DF554A" w:rsidP="00A22E50">
                  <w:pPr>
                    <w:jc w:val="right"/>
                    <w:textAlignment w:val="center"/>
                    <w:rPr>
                      <w:rFonts w:ascii="宋体" w:hAnsi="宋体" w:cs="宋体"/>
                      <w:color w:val="000000"/>
                      <w:sz w:val="18"/>
                      <w:szCs w:val="18"/>
                    </w:rPr>
                  </w:pPr>
                  <w:r>
                    <w:rPr>
                      <w:rFonts w:ascii="宋体" w:hAnsi="宋体" w:cs="宋体" w:hint="eastAsia"/>
                      <w:color w:val="000000"/>
                      <w:sz w:val="18"/>
                      <w:szCs w:val="18"/>
                    </w:rPr>
                    <w:t>220.49</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行政运行</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299.83</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2111402</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一般行政管理事务</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126.56</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126.56</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2111407</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能源行业管理</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3.43</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3.43</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2111408</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能源管理</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90.50</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rsidP="00A22E50">
                  <w:pPr>
                    <w:jc w:val="right"/>
                    <w:textAlignment w:val="center"/>
                    <w:rPr>
                      <w:rFonts w:ascii="宋体" w:hAnsi="宋体" w:cs="宋体"/>
                      <w:color w:val="000000"/>
                      <w:sz w:val="18"/>
                      <w:szCs w:val="18"/>
                    </w:rPr>
                  </w:pPr>
                  <w:r>
                    <w:rPr>
                      <w:rFonts w:ascii="宋体" w:hAnsi="宋体" w:cs="宋体" w:hint="eastAsia"/>
                      <w:color w:val="000000"/>
                      <w:sz w:val="18"/>
                      <w:szCs w:val="18"/>
                    </w:rPr>
                    <w:t>90.50</w:t>
                  </w: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221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住房保障支出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32.24</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22102</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住房改革支出</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30.26</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32.24</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2210201</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住房公积金</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20.40</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22.62</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r w:rsidR="00BC6A65">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2210203</w:t>
                  </w:r>
                </w:p>
              </w:tc>
              <w:tc>
                <w:tcPr>
                  <w:tcW w:w="3834" w:type="dxa"/>
                  <w:tcBorders>
                    <w:top w:val="nil"/>
                    <w:left w:val="nil"/>
                    <w:bottom w:val="single" w:sz="4" w:space="0" w:color="000000"/>
                    <w:right w:val="single" w:sz="4" w:space="0" w:color="000000"/>
                  </w:tcBorders>
                  <w:shd w:val="clear" w:color="auto" w:fill="FFFFFF"/>
                  <w:noWrap/>
                  <w:vAlign w:val="center"/>
                </w:tcPr>
                <w:p w:rsidR="00BC6A65" w:rsidRDefault="00BC6A65">
                  <w:pPr>
                    <w:textAlignment w:val="center"/>
                    <w:rPr>
                      <w:rFonts w:ascii="宋体" w:hAnsi="宋体" w:cs="宋体"/>
                      <w:color w:val="000000"/>
                      <w:sz w:val="18"/>
                      <w:szCs w:val="18"/>
                    </w:rPr>
                  </w:pPr>
                  <w:r>
                    <w:rPr>
                      <w:rFonts w:ascii="宋体" w:hAnsi="宋体" w:cs="宋体" w:hint="eastAsia"/>
                      <w:color w:val="000000"/>
                      <w:sz w:val="18"/>
                      <w:szCs w:val="18"/>
                    </w:rPr>
                    <w:t xml:space="preserve">  购房补贴</w:t>
                  </w:r>
                </w:p>
              </w:tc>
              <w:tc>
                <w:tcPr>
                  <w:tcW w:w="1728"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9.85</w:t>
                  </w:r>
                </w:p>
              </w:tc>
              <w:tc>
                <w:tcPr>
                  <w:tcW w:w="1285" w:type="dxa"/>
                  <w:tcBorders>
                    <w:top w:val="nil"/>
                    <w:left w:val="nil"/>
                    <w:bottom w:val="single" w:sz="4" w:space="0" w:color="000000"/>
                    <w:right w:val="single" w:sz="4" w:space="0" w:color="000000"/>
                  </w:tcBorders>
                  <w:shd w:val="clear" w:color="auto" w:fill="FFFFFF"/>
                  <w:noWrap/>
                  <w:vAlign w:val="center"/>
                </w:tcPr>
                <w:p w:rsidR="00BC6A65" w:rsidRDefault="00BC6A65">
                  <w:pPr>
                    <w:jc w:val="right"/>
                    <w:textAlignment w:val="center"/>
                    <w:rPr>
                      <w:rFonts w:ascii="宋体" w:hAnsi="宋体" w:cs="宋体"/>
                      <w:color w:val="000000"/>
                      <w:sz w:val="18"/>
                      <w:szCs w:val="18"/>
                    </w:rPr>
                  </w:pPr>
                  <w:r>
                    <w:rPr>
                      <w:rFonts w:ascii="宋体" w:hAnsi="宋体" w:cs="宋体" w:hint="eastAsia"/>
                      <w:color w:val="000000"/>
                      <w:sz w:val="18"/>
                      <w:szCs w:val="18"/>
                    </w:rPr>
                    <w:t>9.62</w:t>
                  </w:r>
                </w:p>
              </w:tc>
              <w:tc>
                <w:tcPr>
                  <w:tcW w:w="2080" w:type="dxa"/>
                  <w:tcBorders>
                    <w:top w:val="nil"/>
                    <w:left w:val="nil"/>
                    <w:bottom w:val="single" w:sz="4" w:space="0" w:color="000000"/>
                    <w:right w:val="single" w:sz="4" w:space="0" w:color="000000"/>
                  </w:tcBorders>
                  <w:shd w:val="clear" w:color="auto" w:fill="FFFFFF"/>
                  <w:noWrap/>
                  <w:vAlign w:val="center"/>
                </w:tcPr>
                <w:p w:rsidR="00BC6A65" w:rsidRDefault="00BC6A65">
                  <w:pPr>
                    <w:jc w:val="right"/>
                    <w:rPr>
                      <w:rFonts w:ascii="宋体" w:hAnsi="宋体" w:cs="宋体"/>
                      <w:color w:val="000000"/>
                      <w:sz w:val="18"/>
                      <w:szCs w:val="18"/>
                    </w:rPr>
                  </w:pPr>
                </w:p>
              </w:tc>
            </w:tr>
          </w:tbl>
          <w:p w:rsidR="000D6120" w:rsidRDefault="000D6120">
            <w:pPr>
              <w:jc w:val="center"/>
              <w:rPr>
                <w:rFonts w:ascii="Arial" w:hAnsi="Arial" w:cs="Arial"/>
                <w:color w:val="000000"/>
                <w:sz w:val="20"/>
                <w:szCs w:val="20"/>
              </w:rPr>
            </w:pPr>
          </w:p>
        </w:tc>
      </w:tr>
    </w:tbl>
    <w:p w:rsidR="000D6120" w:rsidRDefault="00245270">
      <w:pPr>
        <w:rPr>
          <w:szCs w:val="32"/>
        </w:rPr>
      </w:pPr>
      <w:r>
        <w:rPr>
          <w:szCs w:val="32"/>
        </w:rPr>
        <w:t>注：本表反映本年度一般公共预算财政拨款支出情况。</w:t>
      </w:r>
    </w:p>
    <w:p w:rsidR="000D6120" w:rsidRDefault="00245270">
      <w:pPr>
        <w:rPr>
          <w:rFonts w:ascii="黑体" w:eastAsia="黑体" w:hAnsi="黑体" w:cs="Arial"/>
          <w:color w:val="000000"/>
          <w:sz w:val="28"/>
          <w:szCs w:val="28"/>
        </w:rPr>
      </w:pPr>
      <w:r>
        <w:rPr>
          <w:rFonts w:ascii="黑体" w:eastAsia="黑体" w:hAnsi="黑体" w:cs="Arial"/>
          <w:color w:val="000000"/>
          <w:sz w:val="28"/>
          <w:szCs w:val="28"/>
        </w:rPr>
        <w:br w:type="page"/>
      </w:r>
    </w:p>
    <w:tbl>
      <w:tblPr>
        <w:tblW w:w="8460" w:type="dxa"/>
        <w:tblLayout w:type="fixed"/>
        <w:tblCellMar>
          <w:left w:w="0" w:type="dxa"/>
          <w:right w:w="0" w:type="dxa"/>
        </w:tblCellMar>
        <w:tblLook w:val="04A0"/>
      </w:tblPr>
      <w:tblGrid>
        <w:gridCol w:w="8460"/>
      </w:tblGrid>
      <w:tr w:rsidR="000D6120">
        <w:trPr>
          <w:trHeight w:val="390"/>
        </w:trPr>
        <w:tc>
          <w:tcPr>
            <w:tcW w:w="8460" w:type="dxa"/>
            <w:tcBorders>
              <w:top w:val="nil"/>
              <w:left w:val="nil"/>
              <w:bottom w:val="nil"/>
              <w:right w:val="nil"/>
            </w:tcBorders>
            <w:shd w:val="clear" w:color="auto" w:fill="auto"/>
            <w:noWrap/>
            <w:tcMar>
              <w:top w:w="15" w:type="dxa"/>
              <w:left w:w="15" w:type="dxa"/>
              <w:right w:w="15" w:type="dxa"/>
            </w:tcMar>
            <w:vAlign w:val="bottom"/>
          </w:tcPr>
          <w:p w:rsidR="000D6120" w:rsidRDefault="00245270">
            <w:pPr>
              <w:jc w:val="both"/>
              <w:rPr>
                <w:rFonts w:ascii="黑体" w:eastAsia="黑体" w:hAnsi="黑体" w:cs="Arial"/>
                <w:color w:val="000000"/>
                <w:sz w:val="28"/>
                <w:szCs w:val="28"/>
              </w:rPr>
            </w:pPr>
            <w:r>
              <w:rPr>
                <w:rFonts w:ascii="黑体" w:eastAsia="黑体" w:hAnsi="黑体" w:cs="宋体"/>
                <w:color w:val="000000"/>
                <w:sz w:val="44"/>
                <w:szCs w:val="44"/>
              </w:rPr>
              <w:lastRenderedPageBreak/>
              <w:t>一般公共预算财政拨款基本支出决算明细表</w:t>
            </w:r>
          </w:p>
        </w:tc>
      </w:tr>
    </w:tbl>
    <w:p w:rsidR="000D6120" w:rsidRDefault="000D6120">
      <w:pPr>
        <w:widowControl w:val="0"/>
        <w:autoSpaceDE w:val="0"/>
        <w:autoSpaceDN w:val="0"/>
        <w:adjustRightInd w:val="0"/>
        <w:ind w:leftChars="-700" w:left="-1680" w:rightChars="-420" w:right="-1008"/>
        <w:jc w:val="center"/>
        <w:rPr>
          <w:rFonts w:ascii="仿宋" w:eastAsia="仿宋" w:hAnsi="仿宋" w:cs="宋体"/>
          <w:sz w:val="32"/>
          <w:szCs w:val="32"/>
        </w:rPr>
      </w:pPr>
    </w:p>
    <w:p w:rsidR="000D6120" w:rsidRDefault="00245270">
      <w:pPr>
        <w:widowControl w:val="0"/>
        <w:autoSpaceDE w:val="0"/>
        <w:autoSpaceDN w:val="0"/>
        <w:adjustRightInd w:val="0"/>
        <w:ind w:leftChars="-700" w:left="-1680" w:rightChars="-420" w:right="-1008"/>
        <w:jc w:val="center"/>
        <w:rPr>
          <w:rFonts w:ascii="仿宋" w:eastAsia="仿宋" w:hAnsi="仿宋" w:cs="宋体"/>
          <w:sz w:val="32"/>
          <w:szCs w:val="32"/>
        </w:rPr>
      </w:pPr>
      <w:r>
        <w:rPr>
          <w:rFonts w:ascii="宋体" w:hAnsi="宋体" w:cs="Arial" w:hint="eastAsia"/>
          <w:color w:val="000000"/>
          <w:sz w:val="20"/>
          <w:szCs w:val="20"/>
        </w:rPr>
        <w:t>公开06表</w:t>
      </w:r>
    </w:p>
    <w:tbl>
      <w:tblPr>
        <w:tblW w:w="9471" w:type="dxa"/>
        <w:tblInd w:w="-184" w:type="dxa"/>
        <w:tblLook w:val="04A0"/>
      </w:tblPr>
      <w:tblGrid>
        <w:gridCol w:w="878"/>
        <w:gridCol w:w="1747"/>
        <w:gridCol w:w="675"/>
        <w:gridCol w:w="599"/>
        <w:gridCol w:w="1237"/>
        <w:gridCol w:w="599"/>
        <w:gridCol w:w="599"/>
        <w:gridCol w:w="2155"/>
        <w:gridCol w:w="982"/>
      </w:tblGrid>
      <w:tr w:rsidR="000D6120">
        <w:trPr>
          <w:trHeight w:val="264"/>
        </w:trPr>
        <w:tc>
          <w:tcPr>
            <w:tcW w:w="3899" w:type="dxa"/>
            <w:gridSpan w:val="4"/>
            <w:tcBorders>
              <w:top w:val="nil"/>
              <w:left w:val="nil"/>
              <w:bottom w:val="nil"/>
              <w:right w:val="nil"/>
            </w:tcBorders>
            <w:shd w:val="clear" w:color="auto" w:fill="FFFFFF"/>
            <w:noWrap/>
            <w:vAlign w:val="bottom"/>
          </w:tcPr>
          <w:p w:rsidR="000D6120" w:rsidRDefault="00245270">
            <w:pPr>
              <w:rPr>
                <w:rFonts w:ascii="Arial" w:hAnsi="Arial" w:cs="Arial"/>
                <w:color w:val="000000"/>
                <w:sz w:val="18"/>
                <w:szCs w:val="18"/>
              </w:rPr>
            </w:pPr>
            <w:r>
              <w:rPr>
                <w:rFonts w:ascii="宋体" w:hAnsi="宋体" w:cs="宋体" w:hint="eastAsia"/>
                <w:color w:val="000000"/>
                <w:sz w:val="18"/>
                <w:szCs w:val="18"/>
              </w:rPr>
              <w:t>部门：国家能源局新疆监管办公室</w:t>
            </w:r>
          </w:p>
        </w:tc>
        <w:tc>
          <w:tcPr>
            <w:tcW w:w="1237" w:type="dxa"/>
            <w:tcBorders>
              <w:top w:val="nil"/>
              <w:left w:val="nil"/>
              <w:bottom w:val="nil"/>
              <w:right w:val="nil"/>
            </w:tcBorders>
            <w:shd w:val="clear" w:color="auto" w:fill="FFFFFF"/>
            <w:noWrap/>
            <w:vAlign w:val="bottom"/>
          </w:tcPr>
          <w:p w:rsidR="000D6120" w:rsidRDefault="000D6120">
            <w:pPr>
              <w:rPr>
                <w:rFonts w:ascii="Arial" w:hAnsi="Arial" w:cs="Arial"/>
                <w:color w:val="000000"/>
                <w:sz w:val="18"/>
                <w:szCs w:val="18"/>
              </w:rPr>
            </w:pPr>
          </w:p>
        </w:tc>
        <w:tc>
          <w:tcPr>
            <w:tcW w:w="599" w:type="dxa"/>
            <w:tcBorders>
              <w:top w:val="nil"/>
              <w:left w:val="nil"/>
              <w:bottom w:val="nil"/>
              <w:right w:val="nil"/>
            </w:tcBorders>
            <w:shd w:val="clear" w:color="auto" w:fill="FFFFFF"/>
            <w:noWrap/>
            <w:vAlign w:val="bottom"/>
          </w:tcPr>
          <w:p w:rsidR="000D6120" w:rsidRDefault="000D6120">
            <w:pPr>
              <w:rPr>
                <w:rFonts w:ascii="Arial" w:hAnsi="Arial" w:cs="Arial"/>
                <w:color w:val="000000"/>
                <w:sz w:val="18"/>
                <w:szCs w:val="18"/>
              </w:rPr>
            </w:pPr>
          </w:p>
        </w:tc>
        <w:tc>
          <w:tcPr>
            <w:tcW w:w="3736" w:type="dxa"/>
            <w:gridSpan w:val="3"/>
            <w:tcBorders>
              <w:top w:val="nil"/>
              <w:left w:val="nil"/>
              <w:bottom w:val="nil"/>
              <w:right w:val="nil"/>
            </w:tcBorders>
            <w:shd w:val="clear" w:color="auto" w:fill="FFFFFF"/>
            <w:noWrap/>
            <w:vAlign w:val="bottom"/>
          </w:tcPr>
          <w:p w:rsidR="000D6120" w:rsidRDefault="00245270">
            <w:pPr>
              <w:jc w:val="right"/>
              <w:textAlignment w:val="bottom"/>
              <w:rPr>
                <w:rFonts w:ascii="宋体" w:hAnsi="宋体" w:cs="宋体"/>
                <w:color w:val="000000"/>
                <w:sz w:val="18"/>
                <w:szCs w:val="18"/>
              </w:rPr>
            </w:pPr>
            <w:r>
              <w:rPr>
                <w:rFonts w:ascii="宋体" w:hAnsi="宋体" w:cs="宋体" w:hint="eastAsia"/>
                <w:color w:val="000000"/>
                <w:sz w:val="18"/>
                <w:szCs w:val="18"/>
              </w:rPr>
              <w:t>金额单位：万元</w:t>
            </w:r>
          </w:p>
        </w:tc>
      </w:tr>
      <w:tr w:rsidR="000D6120">
        <w:trPr>
          <w:trHeight w:val="308"/>
        </w:trPr>
        <w:tc>
          <w:tcPr>
            <w:tcW w:w="33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人员经费</w:t>
            </w:r>
          </w:p>
        </w:tc>
        <w:tc>
          <w:tcPr>
            <w:tcW w:w="6171" w:type="dxa"/>
            <w:gridSpan w:val="6"/>
            <w:tcBorders>
              <w:top w:val="single" w:sz="4" w:space="0" w:color="000000"/>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公用经费</w:t>
            </w:r>
          </w:p>
        </w:tc>
      </w:tr>
      <w:tr w:rsidR="000D6120">
        <w:trPr>
          <w:trHeight w:val="308"/>
        </w:trPr>
        <w:tc>
          <w:tcPr>
            <w:tcW w:w="878" w:type="dxa"/>
            <w:vMerge w:val="restart"/>
            <w:tcBorders>
              <w:top w:val="nil"/>
              <w:left w:val="single" w:sz="4" w:space="0" w:color="000000"/>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1747"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675"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c>
          <w:tcPr>
            <w:tcW w:w="599"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1237"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599"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c>
          <w:tcPr>
            <w:tcW w:w="599"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2155"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982"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r>
      <w:tr w:rsidR="000D6120">
        <w:trPr>
          <w:trHeight w:val="308"/>
        </w:trPr>
        <w:tc>
          <w:tcPr>
            <w:tcW w:w="878" w:type="dxa"/>
            <w:vMerge/>
            <w:tcBorders>
              <w:top w:val="nil"/>
              <w:left w:val="single" w:sz="4" w:space="0" w:color="000000"/>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747"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675"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1237"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2155"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c>
          <w:tcPr>
            <w:tcW w:w="982" w:type="dxa"/>
            <w:vMerge/>
            <w:tcBorders>
              <w:top w:val="nil"/>
              <w:left w:val="nil"/>
              <w:bottom w:val="single" w:sz="4" w:space="0" w:color="000000"/>
              <w:right w:val="single" w:sz="4" w:space="0" w:color="000000"/>
            </w:tcBorders>
            <w:shd w:val="clear" w:color="FFFFFF" w:fill="FFFFFF"/>
            <w:vAlign w:val="center"/>
          </w:tcPr>
          <w:p w:rsidR="000D6120" w:rsidRDefault="000D6120">
            <w:pPr>
              <w:jc w:val="center"/>
              <w:rPr>
                <w:rFonts w:ascii="宋体" w:hAnsi="宋体" w:cs="宋体"/>
                <w:color w:val="000000"/>
                <w:sz w:val="18"/>
                <w:szCs w:val="18"/>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工资福利支出</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317.63</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商品和服务支出</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91.59</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307</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债务利息及费用支出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30101</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基本工资</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89.38</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30201</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办公费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3.41</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30701</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国内债务付息</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30102</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津贴补贴</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119</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30202</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印刷费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0.9</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30702</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国外债务付息</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30103</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奖金</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7.82</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30203</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咨询费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rsidP="00DF554A">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资本性支出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DF554A">
            <w:pPr>
              <w:jc w:val="right"/>
              <w:rPr>
                <w:rFonts w:ascii="宋体" w:hAnsi="宋体" w:cs="宋体"/>
                <w:color w:val="000000"/>
                <w:sz w:val="15"/>
                <w:szCs w:val="15"/>
              </w:rPr>
            </w:pPr>
            <w:r>
              <w:rPr>
                <w:rFonts w:ascii="宋体" w:hAnsi="宋体" w:cs="宋体" w:hint="eastAsia"/>
                <w:color w:val="000000"/>
                <w:sz w:val="15"/>
                <w:szCs w:val="15"/>
              </w:rPr>
              <w:t>0.47</w:t>
            </w: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30106</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伙食补助费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30204</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手续费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31001</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房屋建筑物购建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30107</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绩效工资</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30205</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水费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0.26</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31002</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办公设备购置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DF554A">
            <w:pPr>
              <w:jc w:val="right"/>
              <w:rPr>
                <w:rFonts w:ascii="宋体" w:hAnsi="宋体" w:cs="宋体"/>
                <w:color w:val="000000"/>
                <w:sz w:val="15"/>
                <w:szCs w:val="15"/>
              </w:rPr>
            </w:pPr>
            <w:r>
              <w:rPr>
                <w:rFonts w:ascii="宋体" w:hAnsi="宋体" w:cs="宋体" w:hint="eastAsia"/>
                <w:color w:val="000000"/>
                <w:sz w:val="15"/>
                <w:szCs w:val="15"/>
              </w:rPr>
              <w:t>0.47</w:t>
            </w: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30108</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机关事业单位基本养老保险缴费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26.91</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30206</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电费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2.55</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31003</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专用设备购置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30109</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职业年金缴费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19.54</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30207</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邮电费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9.37</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31005</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基础设施建设</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30110</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职工基本医疗保险缴费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20.11</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30208</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取暖费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2.37</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31006</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大型修缮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30111</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公务员医疗补助缴费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14.47</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30209</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物业管理费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28.40</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31007</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信息网络及软件购置更新</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30112</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其他社会保障缴费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30211</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差旅费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5.92</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31008</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物资储备</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30113</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住房公积金</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20.40</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30212</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因公出国（境）费用</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31009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土地补偿</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30114</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医疗费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30213</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维修（护）费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31010</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安置补助</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30199</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其他工资福利支出</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30214</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租赁费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31011</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地上附着物和青苗补偿</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对个人和家庭的补助</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30215</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会议费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31012</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拆迁补偿</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30301</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离休费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30216</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培训费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31013</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公务用车购置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30302</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退休费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textAlignment w:val="center"/>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30217</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公务接待费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31019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其他交通工具购置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30303</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退职（役）费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30218</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专用材料费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31021</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文物和陈列品购置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30304</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抚恤金</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30224</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被装购置费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31022</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无形资产购置</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30305</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生活补助</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30225</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专用燃料费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31099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其他资本性支出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30306</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救济费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30226</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劳务费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0.28</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其他支出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30307</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医疗费补助</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30227</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委托业务费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39907</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国家赔偿费用支出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30308</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助学金</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30228</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工会经费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3.36</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39908</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对民间非营利组织和群众性自治组织补贴</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30309</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奖励金</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30229</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福利费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9.82</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39909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经常性赠与</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30310</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个人农业生产补贴</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30231</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公务用车运行维护费</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10.25</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39910</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资本性赠与</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30311</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代缴社会保险费</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30239</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其他交通费用</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12.45</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39999</w:t>
            </w: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其他支出</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30399</w:t>
            </w: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其他对个人和家庭的补助</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30240</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税金及附加费用</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1747" w:type="dxa"/>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30299</w:t>
            </w:r>
          </w:p>
        </w:tc>
        <w:tc>
          <w:tcPr>
            <w:tcW w:w="1237" w:type="dxa"/>
            <w:tcBorders>
              <w:top w:val="nil"/>
              <w:left w:val="nil"/>
              <w:bottom w:val="single" w:sz="4" w:space="0" w:color="000000"/>
              <w:right w:val="single" w:sz="4" w:space="0" w:color="000000"/>
            </w:tcBorders>
            <w:shd w:val="clear" w:color="FFFFFF" w:fill="FFFFFF"/>
            <w:noWrap/>
            <w:vAlign w:val="center"/>
          </w:tcPr>
          <w:p w:rsidR="000D6120" w:rsidRDefault="00245270">
            <w:pPr>
              <w:textAlignment w:val="center"/>
              <w:rPr>
                <w:rFonts w:ascii="宋体" w:hAnsi="宋体" w:cs="宋体"/>
                <w:color w:val="000000"/>
                <w:sz w:val="15"/>
                <w:szCs w:val="15"/>
              </w:rPr>
            </w:pPr>
            <w:r>
              <w:rPr>
                <w:rFonts w:ascii="宋体" w:hAnsi="宋体" w:cs="宋体" w:hint="eastAsia"/>
                <w:color w:val="000000"/>
                <w:sz w:val="15"/>
                <w:szCs w:val="15"/>
              </w:rPr>
              <w:t xml:space="preserve">  其他商品和服务支出</w:t>
            </w:r>
          </w:p>
        </w:tc>
        <w:tc>
          <w:tcPr>
            <w:tcW w:w="599"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2.25</w:t>
            </w:r>
          </w:p>
        </w:tc>
        <w:tc>
          <w:tcPr>
            <w:tcW w:w="599" w:type="dxa"/>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2155" w:type="dxa"/>
            <w:tcBorders>
              <w:top w:val="nil"/>
              <w:left w:val="nil"/>
              <w:bottom w:val="single" w:sz="4" w:space="0" w:color="000000"/>
              <w:right w:val="single" w:sz="4" w:space="0" w:color="000000"/>
            </w:tcBorders>
            <w:shd w:val="clear" w:color="FFFFFF" w:fill="FFFFFF"/>
            <w:noWrap/>
            <w:vAlign w:val="center"/>
          </w:tcPr>
          <w:p w:rsidR="000D6120" w:rsidRDefault="000D6120">
            <w:pPr>
              <w:rPr>
                <w:rFonts w:ascii="宋体" w:hAnsi="宋体" w:cs="宋体"/>
                <w:color w:val="000000"/>
                <w:sz w:val="15"/>
                <w:szCs w:val="15"/>
              </w:rPr>
            </w:pP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0D6120">
            <w:pPr>
              <w:jc w:val="right"/>
              <w:rPr>
                <w:rFonts w:ascii="宋体" w:hAnsi="宋体" w:cs="宋体"/>
                <w:color w:val="000000"/>
                <w:sz w:val="15"/>
                <w:szCs w:val="15"/>
              </w:rPr>
            </w:pPr>
          </w:p>
        </w:tc>
      </w:tr>
      <w:tr w:rsidR="000D6120">
        <w:trPr>
          <w:trHeight w:val="308"/>
        </w:trPr>
        <w:tc>
          <w:tcPr>
            <w:tcW w:w="2625" w:type="dxa"/>
            <w:gridSpan w:val="2"/>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5"/>
                <w:szCs w:val="15"/>
              </w:rPr>
            </w:pPr>
            <w:r>
              <w:rPr>
                <w:rFonts w:ascii="宋体" w:hAnsi="宋体" w:cs="宋体" w:hint="eastAsia"/>
                <w:color w:val="000000"/>
                <w:sz w:val="15"/>
                <w:szCs w:val="15"/>
              </w:rPr>
              <w:t>人员经费合计</w:t>
            </w:r>
          </w:p>
        </w:tc>
        <w:tc>
          <w:tcPr>
            <w:tcW w:w="675"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317.63</w:t>
            </w:r>
          </w:p>
        </w:tc>
        <w:tc>
          <w:tcPr>
            <w:tcW w:w="5189" w:type="dxa"/>
            <w:gridSpan w:val="5"/>
            <w:tcBorders>
              <w:top w:val="nil"/>
              <w:left w:val="nil"/>
              <w:bottom w:val="single" w:sz="4" w:space="0" w:color="000000"/>
              <w:right w:val="single" w:sz="4" w:space="0" w:color="000000"/>
            </w:tcBorders>
            <w:shd w:val="clear" w:color="FFFFFF" w:fill="FFFFFF"/>
            <w:noWrap/>
            <w:vAlign w:val="center"/>
          </w:tcPr>
          <w:p w:rsidR="000D6120" w:rsidRDefault="00245270">
            <w:pPr>
              <w:jc w:val="center"/>
              <w:textAlignment w:val="center"/>
              <w:rPr>
                <w:rFonts w:ascii="宋体" w:hAnsi="宋体" w:cs="宋体"/>
                <w:color w:val="000000"/>
                <w:sz w:val="15"/>
                <w:szCs w:val="15"/>
              </w:rPr>
            </w:pPr>
            <w:r>
              <w:rPr>
                <w:rFonts w:ascii="宋体" w:hAnsi="宋体" w:cs="宋体" w:hint="eastAsia"/>
                <w:color w:val="000000"/>
                <w:sz w:val="15"/>
                <w:szCs w:val="15"/>
              </w:rPr>
              <w:t>公用经费合计</w:t>
            </w:r>
          </w:p>
        </w:tc>
        <w:tc>
          <w:tcPr>
            <w:tcW w:w="982" w:type="dxa"/>
            <w:tcBorders>
              <w:top w:val="nil"/>
              <w:left w:val="nil"/>
              <w:bottom w:val="single" w:sz="4" w:space="0" w:color="000000"/>
              <w:right w:val="single" w:sz="4" w:space="0" w:color="000000"/>
            </w:tcBorders>
            <w:shd w:val="clear" w:color="auto" w:fill="FFFFFF"/>
            <w:noWrap/>
            <w:vAlign w:val="center"/>
          </w:tcPr>
          <w:p w:rsidR="000D6120" w:rsidRDefault="00DF554A">
            <w:pPr>
              <w:jc w:val="right"/>
              <w:textAlignment w:val="center"/>
              <w:rPr>
                <w:rFonts w:ascii="宋体" w:hAnsi="宋体" w:cs="宋体"/>
                <w:color w:val="000000"/>
                <w:sz w:val="15"/>
                <w:szCs w:val="15"/>
              </w:rPr>
            </w:pPr>
            <w:r>
              <w:rPr>
                <w:rFonts w:ascii="宋体" w:hAnsi="宋体" w:cs="宋体" w:hint="eastAsia"/>
                <w:color w:val="000000"/>
                <w:sz w:val="15"/>
                <w:szCs w:val="15"/>
              </w:rPr>
              <w:t>92.06</w:t>
            </w:r>
          </w:p>
        </w:tc>
      </w:tr>
    </w:tbl>
    <w:p w:rsidR="000D6120" w:rsidRDefault="000D6120">
      <w:pPr>
        <w:widowControl w:val="0"/>
        <w:autoSpaceDE w:val="0"/>
        <w:autoSpaceDN w:val="0"/>
        <w:adjustRightInd w:val="0"/>
        <w:ind w:leftChars="-700" w:left="-1680" w:rightChars="-420" w:right="-1008"/>
        <w:jc w:val="center"/>
        <w:rPr>
          <w:rFonts w:ascii="仿宋" w:eastAsia="仿宋" w:hAnsi="仿宋" w:cs="宋体"/>
          <w:sz w:val="32"/>
          <w:szCs w:val="32"/>
        </w:rPr>
      </w:pPr>
    </w:p>
    <w:p w:rsidR="000D6120" w:rsidRDefault="00245270">
      <w:pPr>
        <w:widowControl w:val="0"/>
        <w:autoSpaceDE w:val="0"/>
        <w:autoSpaceDN w:val="0"/>
        <w:adjustRightInd w:val="0"/>
        <w:rPr>
          <w:color w:val="000000"/>
        </w:rPr>
      </w:pPr>
      <w:r>
        <w:rPr>
          <w:color w:val="000000"/>
        </w:rPr>
        <w:t>注：本表反映本年度一般公共预算财政拨款基本支出明细情况。</w:t>
      </w:r>
    </w:p>
    <w:p w:rsidR="000D6120" w:rsidRDefault="00245270">
      <w:pPr>
        <w:rPr>
          <w:rFonts w:ascii="黑体" w:eastAsia="黑体" w:hAnsi="黑体" w:cs="Arial"/>
          <w:color w:val="000000"/>
          <w:sz w:val="28"/>
          <w:szCs w:val="28"/>
        </w:rPr>
      </w:pPr>
      <w:r>
        <w:rPr>
          <w:rFonts w:ascii="黑体" w:eastAsia="黑体" w:hAnsi="黑体" w:cs="Arial"/>
          <w:color w:val="000000"/>
          <w:sz w:val="28"/>
          <w:szCs w:val="28"/>
        </w:rPr>
        <w:br w:type="page"/>
      </w:r>
    </w:p>
    <w:p w:rsidR="000D6120" w:rsidRDefault="000D6120">
      <w:pPr>
        <w:widowControl w:val="0"/>
        <w:autoSpaceDE w:val="0"/>
        <w:autoSpaceDN w:val="0"/>
        <w:adjustRightInd w:val="0"/>
        <w:jc w:val="center"/>
        <w:rPr>
          <w:rFonts w:ascii="黑体" w:eastAsia="黑体" w:hAnsi="黑体" w:cs="Arial"/>
          <w:color w:val="000000"/>
          <w:sz w:val="28"/>
          <w:szCs w:val="28"/>
        </w:rPr>
      </w:pPr>
    </w:p>
    <w:tbl>
      <w:tblPr>
        <w:tblW w:w="9087" w:type="dxa"/>
        <w:tblInd w:w="93" w:type="dxa"/>
        <w:tblLook w:val="04A0"/>
      </w:tblPr>
      <w:tblGrid>
        <w:gridCol w:w="666"/>
        <w:gridCol w:w="1192"/>
        <w:gridCol w:w="1134"/>
        <w:gridCol w:w="1134"/>
        <w:gridCol w:w="851"/>
        <w:gridCol w:w="1275"/>
        <w:gridCol w:w="1134"/>
        <w:gridCol w:w="1701"/>
      </w:tblGrid>
      <w:tr w:rsidR="000D6120">
        <w:trPr>
          <w:trHeight w:val="300"/>
        </w:trPr>
        <w:tc>
          <w:tcPr>
            <w:tcW w:w="9087" w:type="dxa"/>
            <w:gridSpan w:val="8"/>
            <w:tcBorders>
              <w:top w:val="nil"/>
              <w:left w:val="nil"/>
              <w:bottom w:val="nil"/>
              <w:right w:val="nil"/>
            </w:tcBorders>
            <w:shd w:val="clear" w:color="auto" w:fill="auto"/>
            <w:noWrap/>
            <w:vAlign w:val="bottom"/>
          </w:tcPr>
          <w:p w:rsidR="000D6120" w:rsidRDefault="00245270">
            <w:pPr>
              <w:jc w:val="center"/>
              <w:rPr>
                <w:rFonts w:ascii="黑体" w:eastAsia="黑体" w:hAnsi="黑体" w:cs="Arial"/>
                <w:color w:val="000000"/>
                <w:sz w:val="44"/>
                <w:szCs w:val="44"/>
              </w:rPr>
            </w:pPr>
            <w:r>
              <w:rPr>
                <w:rFonts w:ascii="黑体" w:eastAsia="黑体" w:hAnsi="黑体" w:cs="Arial" w:hint="eastAsia"/>
                <w:color w:val="000000"/>
                <w:sz w:val="44"/>
                <w:szCs w:val="44"/>
              </w:rPr>
              <w:t>政府性基金预算财政拨款收入支出决算表</w:t>
            </w:r>
          </w:p>
          <w:p w:rsidR="000D6120" w:rsidRDefault="00245270">
            <w:pPr>
              <w:jc w:val="right"/>
              <w:rPr>
                <w:rFonts w:ascii="宋体" w:hAnsi="宋体" w:cs="Arial"/>
                <w:color w:val="000000"/>
                <w:sz w:val="20"/>
                <w:szCs w:val="20"/>
              </w:rPr>
            </w:pPr>
            <w:r>
              <w:rPr>
                <w:rFonts w:ascii="宋体" w:hAnsi="宋体" w:cs="Arial" w:hint="eastAsia"/>
                <w:color w:val="000000"/>
                <w:sz w:val="20"/>
                <w:szCs w:val="20"/>
              </w:rPr>
              <w:t>公开07表</w:t>
            </w:r>
          </w:p>
          <w:p w:rsidR="000D6120" w:rsidRDefault="00245270">
            <w:pPr>
              <w:jc w:val="right"/>
              <w:rPr>
                <w:rFonts w:ascii="黑体" w:eastAsia="黑体" w:hAnsi="黑体" w:cs="Arial"/>
                <w:color w:val="000000"/>
                <w:sz w:val="28"/>
                <w:szCs w:val="28"/>
              </w:rPr>
            </w:pPr>
            <w:r>
              <w:rPr>
                <w:rFonts w:ascii="黑体" w:eastAsia="黑体" w:hAnsi="黑体" w:cs="Arial" w:hint="eastAsia"/>
                <w:color w:val="000000"/>
                <w:sz w:val="20"/>
                <w:szCs w:val="28"/>
              </w:rPr>
              <w:t>部门：国家能源局（机关本级）                                               金额单位：万元</w:t>
            </w:r>
          </w:p>
        </w:tc>
      </w:tr>
      <w:tr w:rsidR="000D6120">
        <w:trPr>
          <w:trHeight w:val="308"/>
        </w:trPr>
        <w:tc>
          <w:tcPr>
            <w:tcW w:w="185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项目</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年初结转和结余</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本年收入</w:t>
            </w:r>
          </w:p>
        </w:tc>
        <w:tc>
          <w:tcPr>
            <w:tcW w:w="3260" w:type="dxa"/>
            <w:gridSpan w:val="3"/>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本年支出</w:t>
            </w:r>
          </w:p>
        </w:tc>
        <w:tc>
          <w:tcPr>
            <w:tcW w:w="1701" w:type="dxa"/>
            <w:vMerge w:val="restart"/>
            <w:tcBorders>
              <w:top w:val="single" w:sz="4" w:space="0" w:color="000000"/>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年末结转和结余</w:t>
            </w:r>
          </w:p>
        </w:tc>
      </w:tr>
      <w:tr w:rsidR="000D6120">
        <w:trPr>
          <w:trHeight w:val="312"/>
        </w:trPr>
        <w:tc>
          <w:tcPr>
            <w:tcW w:w="666" w:type="dxa"/>
            <w:vMerge w:val="restart"/>
            <w:tcBorders>
              <w:top w:val="nil"/>
              <w:left w:val="single" w:sz="4" w:space="0" w:color="000000"/>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功能分类科目编码</w:t>
            </w:r>
          </w:p>
        </w:tc>
        <w:tc>
          <w:tcPr>
            <w:tcW w:w="1192" w:type="dxa"/>
            <w:vMerge w:val="restart"/>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科目名称</w:t>
            </w: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851"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小计</w:t>
            </w:r>
          </w:p>
        </w:tc>
        <w:tc>
          <w:tcPr>
            <w:tcW w:w="1275"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基本支出</w:t>
            </w:r>
          </w:p>
        </w:tc>
        <w:tc>
          <w:tcPr>
            <w:tcW w:w="1134" w:type="dxa"/>
            <w:vMerge w:val="restart"/>
            <w:tcBorders>
              <w:top w:val="nil"/>
              <w:left w:val="nil"/>
              <w:bottom w:val="single" w:sz="4" w:space="0" w:color="000000"/>
              <w:right w:val="single" w:sz="4" w:space="0" w:color="000000"/>
            </w:tcBorders>
            <w:shd w:val="clear" w:color="FFFFFF" w:fill="FFFFFF"/>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项目支出</w:t>
            </w:r>
          </w:p>
        </w:tc>
        <w:tc>
          <w:tcPr>
            <w:tcW w:w="1701"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r>
      <w:tr w:rsidR="000D6120">
        <w:trPr>
          <w:trHeight w:val="312"/>
        </w:trPr>
        <w:tc>
          <w:tcPr>
            <w:tcW w:w="666" w:type="dxa"/>
            <w:vMerge/>
            <w:tcBorders>
              <w:top w:val="nil"/>
              <w:left w:val="single" w:sz="4" w:space="0" w:color="000000"/>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92"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851"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275"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701"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r>
      <w:tr w:rsidR="000D6120">
        <w:trPr>
          <w:trHeight w:val="312"/>
        </w:trPr>
        <w:tc>
          <w:tcPr>
            <w:tcW w:w="666" w:type="dxa"/>
            <w:vMerge/>
            <w:tcBorders>
              <w:top w:val="nil"/>
              <w:left w:val="single" w:sz="4" w:space="0" w:color="000000"/>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92"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851"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275"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134" w:type="dxa"/>
            <w:vMerge/>
            <w:tcBorders>
              <w:top w:val="nil"/>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c>
          <w:tcPr>
            <w:tcW w:w="1701" w:type="dxa"/>
            <w:vMerge/>
            <w:tcBorders>
              <w:top w:val="single" w:sz="4" w:space="0" w:color="000000"/>
              <w:left w:val="nil"/>
              <w:bottom w:val="single" w:sz="4" w:space="0" w:color="000000"/>
              <w:right w:val="single" w:sz="4" w:space="0" w:color="000000"/>
            </w:tcBorders>
            <w:vAlign w:val="center"/>
          </w:tcPr>
          <w:p w:rsidR="000D6120" w:rsidRDefault="000D6120">
            <w:pPr>
              <w:rPr>
                <w:rFonts w:ascii="宋体" w:hAnsi="宋体" w:cs="Arial"/>
                <w:color w:val="000000"/>
                <w:sz w:val="18"/>
                <w:szCs w:val="18"/>
              </w:rPr>
            </w:pPr>
          </w:p>
        </w:tc>
      </w:tr>
      <w:tr w:rsidR="000D6120">
        <w:trPr>
          <w:trHeight w:val="308"/>
        </w:trPr>
        <w:tc>
          <w:tcPr>
            <w:tcW w:w="1858" w:type="dxa"/>
            <w:gridSpan w:val="2"/>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栏次</w:t>
            </w:r>
          </w:p>
        </w:tc>
        <w:tc>
          <w:tcPr>
            <w:tcW w:w="1134"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1</w:t>
            </w:r>
          </w:p>
        </w:tc>
        <w:tc>
          <w:tcPr>
            <w:tcW w:w="1134"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2</w:t>
            </w:r>
          </w:p>
        </w:tc>
        <w:tc>
          <w:tcPr>
            <w:tcW w:w="851"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3</w:t>
            </w:r>
          </w:p>
        </w:tc>
        <w:tc>
          <w:tcPr>
            <w:tcW w:w="1275"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4</w:t>
            </w:r>
          </w:p>
        </w:tc>
        <w:tc>
          <w:tcPr>
            <w:tcW w:w="1134"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5</w:t>
            </w:r>
          </w:p>
        </w:tc>
        <w:tc>
          <w:tcPr>
            <w:tcW w:w="1701" w:type="dxa"/>
            <w:tcBorders>
              <w:top w:val="nil"/>
              <w:left w:val="nil"/>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6</w:t>
            </w:r>
          </w:p>
        </w:tc>
      </w:tr>
      <w:tr w:rsidR="000D6120">
        <w:trPr>
          <w:trHeight w:val="308"/>
        </w:trPr>
        <w:tc>
          <w:tcPr>
            <w:tcW w:w="1858" w:type="dxa"/>
            <w:gridSpan w:val="2"/>
            <w:tcBorders>
              <w:top w:val="nil"/>
              <w:left w:val="single" w:sz="4" w:space="0" w:color="000000"/>
              <w:bottom w:val="single" w:sz="4" w:space="0" w:color="000000"/>
              <w:right w:val="single" w:sz="4" w:space="0" w:color="000000"/>
            </w:tcBorders>
            <w:shd w:val="clear" w:color="FFFFFF" w:fill="FFFFFF"/>
            <w:noWrap/>
            <w:vAlign w:val="center"/>
          </w:tcPr>
          <w:p w:rsidR="000D6120" w:rsidRDefault="00245270">
            <w:pPr>
              <w:jc w:val="center"/>
              <w:rPr>
                <w:rFonts w:ascii="宋体" w:hAnsi="宋体" w:cs="Arial"/>
                <w:color w:val="000000"/>
                <w:sz w:val="18"/>
                <w:szCs w:val="18"/>
              </w:rPr>
            </w:pPr>
            <w:r>
              <w:rPr>
                <w:rFonts w:ascii="宋体" w:hAnsi="宋体" w:cs="Arial" w:hint="eastAsia"/>
                <w:color w:val="000000"/>
                <w:sz w:val="18"/>
                <w:szCs w:val="18"/>
              </w:rPr>
              <w:t>合计</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0D6120" w:rsidRDefault="00245270">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0D6120">
        <w:trPr>
          <w:trHeight w:val="308"/>
        </w:trPr>
        <w:tc>
          <w:tcPr>
            <w:tcW w:w="9087" w:type="dxa"/>
            <w:gridSpan w:val="8"/>
            <w:tcBorders>
              <w:top w:val="nil"/>
              <w:left w:val="nil"/>
              <w:bottom w:val="nil"/>
              <w:right w:val="nil"/>
            </w:tcBorders>
            <w:shd w:val="clear" w:color="auto" w:fill="auto"/>
            <w:noWrap/>
            <w:vAlign w:val="center"/>
          </w:tcPr>
          <w:p w:rsidR="000D6120" w:rsidRDefault="00245270">
            <w:pPr>
              <w:rPr>
                <w:rFonts w:ascii="宋体" w:hAnsi="宋体" w:cs="Arial"/>
                <w:color w:val="000000"/>
                <w:sz w:val="18"/>
                <w:szCs w:val="18"/>
              </w:rPr>
            </w:pPr>
            <w:r>
              <w:rPr>
                <w:rFonts w:ascii="宋体" w:hAnsi="宋体" w:cs="Arial" w:hint="eastAsia"/>
                <w:color w:val="000000"/>
                <w:sz w:val="18"/>
                <w:szCs w:val="18"/>
              </w:rPr>
              <w:t>注：本表反映部门本年度政府性基金预算财政拨款收入、支出及结转和结余情况。</w:t>
            </w:r>
          </w:p>
        </w:tc>
      </w:tr>
    </w:tbl>
    <w:p w:rsidR="000D6120" w:rsidRDefault="00245270">
      <w:pPr>
        <w:widowControl w:val="0"/>
        <w:autoSpaceDE w:val="0"/>
        <w:autoSpaceDN w:val="0"/>
        <w:adjustRightInd w:val="0"/>
        <w:rPr>
          <w:rFonts w:ascii="仿宋" w:eastAsia="仿宋" w:hAnsi="仿宋" w:cs="宋体"/>
          <w:b/>
          <w:sz w:val="21"/>
          <w:szCs w:val="21"/>
        </w:rPr>
      </w:pPr>
      <w:r>
        <w:rPr>
          <w:rFonts w:ascii="宋体" w:cs="宋体" w:hint="eastAsia"/>
          <w:b/>
          <w:sz w:val="21"/>
          <w:szCs w:val="21"/>
        </w:rPr>
        <w:t>说明：国家能源局（机关本级）没有政府性基金收入，也没有使用政府性基金安排的支出，故本表无数据。</w:t>
      </w:r>
    </w:p>
    <w:tbl>
      <w:tblPr>
        <w:tblW w:w="9030" w:type="dxa"/>
        <w:tblCellMar>
          <w:left w:w="0" w:type="dxa"/>
          <w:right w:w="0" w:type="dxa"/>
        </w:tblCellMar>
        <w:tblLook w:val="04A0"/>
      </w:tblPr>
      <w:tblGrid>
        <w:gridCol w:w="2283"/>
        <w:gridCol w:w="1349"/>
        <w:gridCol w:w="1421"/>
        <w:gridCol w:w="1351"/>
        <w:gridCol w:w="2626"/>
      </w:tblGrid>
      <w:tr w:rsidR="000D6120">
        <w:trPr>
          <w:trHeight w:val="240"/>
        </w:trPr>
        <w:tc>
          <w:tcPr>
            <w:tcW w:w="9030" w:type="dxa"/>
            <w:gridSpan w:val="5"/>
            <w:tcBorders>
              <w:top w:val="nil"/>
              <w:left w:val="nil"/>
              <w:bottom w:val="nil"/>
              <w:right w:val="nil"/>
            </w:tcBorders>
            <w:shd w:val="clear" w:color="auto" w:fill="auto"/>
            <w:noWrap/>
            <w:tcMar>
              <w:top w:w="15" w:type="dxa"/>
              <w:left w:w="15" w:type="dxa"/>
              <w:right w:w="15" w:type="dxa"/>
            </w:tcMar>
            <w:vAlign w:val="bottom"/>
          </w:tcPr>
          <w:p w:rsidR="000D6120" w:rsidRDefault="000D6120">
            <w:pPr>
              <w:jc w:val="center"/>
              <w:textAlignment w:val="bottom"/>
              <w:rPr>
                <w:rFonts w:ascii="黑体" w:eastAsia="黑体" w:hAnsi="黑体" w:cs="Arial"/>
                <w:color w:val="000000"/>
                <w:sz w:val="28"/>
                <w:szCs w:val="28"/>
              </w:rPr>
            </w:pPr>
          </w:p>
          <w:p w:rsidR="000D6120" w:rsidRDefault="000D6120">
            <w:pPr>
              <w:jc w:val="center"/>
              <w:textAlignment w:val="bottom"/>
              <w:rPr>
                <w:rFonts w:ascii="黑体" w:eastAsia="黑体" w:hAnsi="黑体" w:cs="Arial"/>
                <w:color w:val="000000"/>
                <w:sz w:val="28"/>
                <w:szCs w:val="28"/>
              </w:rPr>
            </w:pPr>
          </w:p>
          <w:p w:rsidR="000D6120" w:rsidRDefault="00245270">
            <w:pPr>
              <w:jc w:val="center"/>
              <w:textAlignment w:val="bottom"/>
              <w:rPr>
                <w:rFonts w:ascii="黑体" w:eastAsia="黑体" w:hAnsi="黑体" w:cs="Arial"/>
                <w:color w:val="000000"/>
                <w:sz w:val="44"/>
                <w:szCs w:val="44"/>
              </w:rPr>
            </w:pPr>
            <w:r>
              <w:rPr>
                <w:rFonts w:ascii="黑体" w:eastAsia="黑体" w:hAnsi="黑体" w:cs="Arial" w:hint="eastAsia"/>
                <w:color w:val="000000"/>
                <w:sz w:val="44"/>
                <w:szCs w:val="44"/>
              </w:rPr>
              <w:t>国有资本经营预算财政拨款支出决算表</w:t>
            </w:r>
          </w:p>
          <w:p w:rsidR="000D6120" w:rsidRDefault="00245270">
            <w:pPr>
              <w:jc w:val="right"/>
              <w:rPr>
                <w:rFonts w:ascii="宋体" w:hAnsi="宋体" w:cs="Arial"/>
                <w:color w:val="000000"/>
                <w:sz w:val="20"/>
                <w:szCs w:val="20"/>
              </w:rPr>
            </w:pPr>
            <w:r>
              <w:rPr>
                <w:rFonts w:ascii="宋体" w:hAnsi="宋体" w:cs="Arial" w:hint="eastAsia"/>
                <w:color w:val="000000"/>
                <w:sz w:val="20"/>
                <w:szCs w:val="20"/>
              </w:rPr>
              <w:t>公开08表</w:t>
            </w:r>
          </w:p>
          <w:p w:rsidR="000D6120" w:rsidRDefault="00245270">
            <w:pPr>
              <w:jc w:val="center"/>
              <w:textAlignment w:val="bottom"/>
              <w:rPr>
                <w:rFonts w:ascii="黑体" w:eastAsia="黑体" w:hAnsi="黑体" w:cs="Arial"/>
                <w:color w:val="000000"/>
                <w:sz w:val="28"/>
                <w:szCs w:val="28"/>
              </w:rPr>
            </w:pPr>
            <w:r>
              <w:rPr>
                <w:rFonts w:ascii="黑体" w:eastAsia="黑体" w:hAnsi="黑体" w:cs="Arial" w:hint="eastAsia"/>
                <w:color w:val="000000"/>
                <w:sz w:val="20"/>
                <w:szCs w:val="28"/>
              </w:rPr>
              <w:t>部门：国家能源局（机关本级）                                               金额单位：万元</w:t>
            </w:r>
          </w:p>
        </w:tc>
      </w:tr>
      <w:tr w:rsidR="000D6120">
        <w:trPr>
          <w:trHeight w:val="30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5372"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本年支出</w:t>
            </w:r>
          </w:p>
        </w:tc>
      </w:tr>
      <w:tr w:rsidR="000D6120">
        <w:trPr>
          <w:trHeight w:val="312"/>
        </w:trPr>
        <w:tc>
          <w:tcPr>
            <w:tcW w:w="23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13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2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27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r>
      <w:tr w:rsidR="000D6120">
        <w:trPr>
          <w:trHeight w:val="312"/>
        </w:trPr>
        <w:tc>
          <w:tcPr>
            <w:tcW w:w="23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13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12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27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r>
      <w:tr w:rsidR="000D6120">
        <w:trPr>
          <w:trHeight w:val="312"/>
        </w:trPr>
        <w:tc>
          <w:tcPr>
            <w:tcW w:w="23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13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12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c>
          <w:tcPr>
            <w:tcW w:w="27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8"/>
                <w:szCs w:val="18"/>
              </w:rPr>
            </w:pPr>
          </w:p>
        </w:tc>
      </w:tr>
      <w:tr w:rsidR="000D6120">
        <w:trPr>
          <w:trHeight w:val="308"/>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r>
      <w:tr w:rsidR="000D6120">
        <w:trPr>
          <w:trHeight w:val="308"/>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b/>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textAlignment w:val="center"/>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r>
      <w:tr w:rsidR="000D6120">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0D6120">
            <w:pPr>
              <w:jc w:val="right"/>
              <w:rPr>
                <w:rFonts w:ascii="宋体" w:hAnsi="宋体" w:cs="宋体"/>
                <w:color w:val="000000"/>
                <w:sz w:val="18"/>
                <w:szCs w:val="18"/>
              </w:rPr>
            </w:pPr>
          </w:p>
        </w:tc>
      </w:tr>
      <w:tr w:rsidR="000D6120">
        <w:trPr>
          <w:trHeight w:val="308"/>
        </w:trPr>
        <w:tc>
          <w:tcPr>
            <w:tcW w:w="0" w:type="auto"/>
            <w:gridSpan w:val="5"/>
            <w:tcBorders>
              <w:top w:val="nil"/>
              <w:left w:val="nil"/>
              <w:bottom w:val="nil"/>
              <w:right w:val="nil"/>
            </w:tcBorders>
            <w:shd w:val="clear" w:color="auto" w:fill="auto"/>
            <w:noWrap/>
            <w:tcMar>
              <w:top w:w="15" w:type="dxa"/>
              <w:left w:w="15" w:type="dxa"/>
              <w:right w:w="15" w:type="dxa"/>
            </w:tcMar>
            <w:vAlign w:val="center"/>
          </w:tcPr>
          <w:p w:rsidR="000D6120" w:rsidRDefault="00245270">
            <w:pPr>
              <w:textAlignment w:val="center"/>
              <w:rPr>
                <w:rFonts w:ascii="宋体" w:hAnsi="宋体" w:cs="宋体"/>
                <w:color w:val="000000"/>
                <w:sz w:val="18"/>
                <w:szCs w:val="18"/>
              </w:rPr>
            </w:pPr>
            <w:r>
              <w:rPr>
                <w:rFonts w:ascii="宋体" w:hAnsi="宋体" w:cs="宋体" w:hint="eastAsia"/>
                <w:color w:val="000000"/>
                <w:sz w:val="18"/>
                <w:szCs w:val="18"/>
              </w:rPr>
              <w:t>注：本表反映部门本年度国有资本经营预算财政拨款支出情况。</w:t>
            </w:r>
          </w:p>
        </w:tc>
      </w:tr>
    </w:tbl>
    <w:p w:rsidR="000D6120" w:rsidRDefault="00245270">
      <w:pPr>
        <w:widowControl w:val="0"/>
        <w:autoSpaceDE w:val="0"/>
        <w:autoSpaceDN w:val="0"/>
        <w:adjustRightInd w:val="0"/>
        <w:rPr>
          <w:rFonts w:ascii="仿宋" w:eastAsia="仿宋" w:hAnsi="仿宋" w:cs="宋体"/>
          <w:b/>
          <w:sz w:val="21"/>
          <w:szCs w:val="21"/>
        </w:rPr>
      </w:pPr>
      <w:r>
        <w:rPr>
          <w:rFonts w:ascii="宋体" w:cs="宋体" w:hint="eastAsia"/>
          <w:b/>
          <w:sz w:val="21"/>
          <w:szCs w:val="21"/>
        </w:rPr>
        <w:t>说明：国家能源局（机关本级）没有国有资本经营预算财政拨款，故本表无数据。</w:t>
      </w:r>
    </w:p>
    <w:p w:rsidR="000D6120" w:rsidRDefault="000D6120">
      <w:pPr>
        <w:widowControl w:val="0"/>
        <w:autoSpaceDE w:val="0"/>
        <w:autoSpaceDN w:val="0"/>
        <w:adjustRightInd w:val="0"/>
        <w:jc w:val="center"/>
        <w:rPr>
          <w:rFonts w:ascii="黑体" w:eastAsia="黑体" w:hAnsi="黑体" w:cs="Arial"/>
          <w:color w:val="000000"/>
          <w:sz w:val="28"/>
          <w:szCs w:val="28"/>
        </w:rPr>
      </w:pPr>
    </w:p>
    <w:p w:rsidR="000D6120" w:rsidRDefault="00245270">
      <w:pPr>
        <w:rPr>
          <w:rFonts w:ascii="黑体" w:eastAsia="黑体" w:hAnsi="黑体" w:cs="Arial"/>
          <w:color w:val="000000"/>
          <w:sz w:val="28"/>
          <w:szCs w:val="28"/>
        </w:rPr>
      </w:pPr>
      <w:r>
        <w:rPr>
          <w:rFonts w:ascii="黑体" w:eastAsia="黑体" w:hAnsi="黑体" w:cs="Arial"/>
          <w:color w:val="000000"/>
          <w:sz w:val="28"/>
          <w:szCs w:val="28"/>
        </w:rPr>
        <w:br w:type="page"/>
      </w:r>
    </w:p>
    <w:p w:rsidR="000D6120" w:rsidRDefault="000D6120">
      <w:pPr>
        <w:widowControl w:val="0"/>
        <w:autoSpaceDE w:val="0"/>
        <w:autoSpaceDN w:val="0"/>
        <w:adjustRightInd w:val="0"/>
        <w:jc w:val="center"/>
        <w:rPr>
          <w:rFonts w:ascii="黑体" w:eastAsia="黑体" w:hAnsi="黑体" w:cs="Arial"/>
          <w:color w:val="000000"/>
          <w:sz w:val="28"/>
          <w:szCs w:val="28"/>
        </w:rPr>
      </w:pPr>
    </w:p>
    <w:p w:rsidR="000D6120" w:rsidRDefault="000D6120">
      <w:pPr>
        <w:widowControl w:val="0"/>
        <w:autoSpaceDE w:val="0"/>
        <w:autoSpaceDN w:val="0"/>
        <w:adjustRightInd w:val="0"/>
        <w:jc w:val="center"/>
        <w:rPr>
          <w:rFonts w:ascii="黑体" w:eastAsia="黑体" w:hAnsi="黑体" w:cs="Arial"/>
          <w:color w:val="000000"/>
          <w:sz w:val="28"/>
          <w:szCs w:val="28"/>
        </w:rPr>
      </w:pPr>
    </w:p>
    <w:p w:rsidR="000D6120" w:rsidRDefault="00245270">
      <w:pPr>
        <w:widowControl w:val="0"/>
        <w:autoSpaceDE w:val="0"/>
        <w:autoSpaceDN w:val="0"/>
        <w:adjustRightInd w:val="0"/>
        <w:jc w:val="center"/>
        <w:rPr>
          <w:rFonts w:ascii="仿宋" w:eastAsia="仿宋" w:hAnsi="仿宋" w:cs="宋体"/>
          <w:sz w:val="32"/>
          <w:szCs w:val="32"/>
        </w:rPr>
      </w:pPr>
      <w:r>
        <w:rPr>
          <w:rFonts w:ascii="黑体" w:eastAsia="黑体" w:hAnsi="黑体" w:cs="Arial" w:hint="eastAsia"/>
          <w:color w:val="000000"/>
          <w:sz w:val="28"/>
          <w:szCs w:val="28"/>
        </w:rPr>
        <w:t>一般公共预算财政拨款“三公”经费支出决算表</w:t>
      </w:r>
    </w:p>
    <w:p w:rsidR="000D6120" w:rsidRDefault="000D6120">
      <w:pPr>
        <w:widowControl w:val="0"/>
        <w:autoSpaceDE w:val="0"/>
        <w:autoSpaceDN w:val="0"/>
        <w:adjustRightInd w:val="0"/>
        <w:jc w:val="center"/>
        <w:rPr>
          <w:rFonts w:ascii="黑体" w:eastAsia="黑体" w:hAnsi="黑体" w:cs="Arial"/>
          <w:color w:val="000000"/>
          <w:sz w:val="28"/>
          <w:szCs w:val="28"/>
        </w:rPr>
      </w:pPr>
    </w:p>
    <w:p w:rsidR="000D6120" w:rsidRDefault="00245270">
      <w:pPr>
        <w:jc w:val="right"/>
        <w:rPr>
          <w:rFonts w:ascii="宋体" w:hAnsi="宋体" w:cs="Arial"/>
          <w:color w:val="000000"/>
          <w:sz w:val="20"/>
          <w:szCs w:val="20"/>
        </w:rPr>
      </w:pPr>
      <w:r>
        <w:rPr>
          <w:rFonts w:ascii="宋体" w:hAnsi="宋体" w:cs="Arial" w:hint="eastAsia"/>
          <w:color w:val="000000"/>
          <w:sz w:val="20"/>
          <w:szCs w:val="20"/>
        </w:rPr>
        <w:t>公开09表</w:t>
      </w:r>
    </w:p>
    <w:p w:rsidR="000D6120" w:rsidRDefault="00245270">
      <w:pPr>
        <w:widowControl w:val="0"/>
        <w:autoSpaceDE w:val="0"/>
        <w:autoSpaceDN w:val="0"/>
        <w:adjustRightInd w:val="0"/>
        <w:jc w:val="center"/>
        <w:rPr>
          <w:rFonts w:ascii="黑体" w:eastAsia="黑体" w:hAnsi="黑体" w:cs="Arial"/>
          <w:color w:val="000000"/>
          <w:sz w:val="28"/>
          <w:szCs w:val="28"/>
        </w:rPr>
      </w:pPr>
      <w:r>
        <w:rPr>
          <w:rFonts w:ascii="黑体" w:eastAsia="黑体" w:hAnsi="黑体" w:cs="Arial" w:hint="eastAsia"/>
          <w:color w:val="000000"/>
          <w:sz w:val="20"/>
          <w:szCs w:val="28"/>
        </w:rPr>
        <w:t>部门：国家能源局（机关本级）                                               金额单位：万元</w:t>
      </w:r>
    </w:p>
    <w:tbl>
      <w:tblPr>
        <w:tblW w:w="9050" w:type="dxa"/>
        <w:tblLayout w:type="fixed"/>
        <w:tblCellMar>
          <w:left w:w="0" w:type="dxa"/>
          <w:right w:w="0" w:type="dxa"/>
        </w:tblCellMar>
        <w:tblLook w:val="04A0"/>
      </w:tblPr>
      <w:tblGrid>
        <w:gridCol w:w="1008"/>
        <w:gridCol w:w="891"/>
        <w:gridCol w:w="735"/>
        <w:gridCol w:w="720"/>
        <w:gridCol w:w="772"/>
        <w:gridCol w:w="593"/>
        <w:gridCol w:w="621"/>
        <w:gridCol w:w="660"/>
        <w:gridCol w:w="690"/>
        <w:gridCol w:w="838"/>
        <w:gridCol w:w="851"/>
        <w:gridCol w:w="671"/>
      </w:tblGrid>
      <w:tr w:rsidR="000D6120">
        <w:trPr>
          <w:trHeight w:val="308"/>
        </w:trPr>
        <w:tc>
          <w:tcPr>
            <w:tcW w:w="471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预算数</w:t>
            </w:r>
          </w:p>
        </w:tc>
        <w:tc>
          <w:tcPr>
            <w:tcW w:w="433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决算数</w:t>
            </w:r>
          </w:p>
        </w:tc>
      </w:tr>
      <w:tr w:rsidR="000D6120">
        <w:trPr>
          <w:trHeight w:val="308"/>
        </w:trPr>
        <w:tc>
          <w:tcPr>
            <w:tcW w:w="1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合计</w:t>
            </w:r>
          </w:p>
        </w:tc>
        <w:tc>
          <w:tcPr>
            <w:tcW w:w="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因公出国（境）费</w:t>
            </w:r>
          </w:p>
        </w:tc>
        <w:tc>
          <w:tcPr>
            <w:tcW w:w="222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公务用车购置及运行费</w:t>
            </w:r>
          </w:p>
        </w:tc>
        <w:tc>
          <w:tcPr>
            <w:tcW w:w="5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公务接待费</w:t>
            </w:r>
          </w:p>
        </w:tc>
        <w:tc>
          <w:tcPr>
            <w:tcW w:w="6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合计</w:t>
            </w:r>
          </w:p>
        </w:tc>
        <w:tc>
          <w:tcPr>
            <w:tcW w:w="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因公出国（境）费</w:t>
            </w:r>
          </w:p>
        </w:tc>
        <w:tc>
          <w:tcPr>
            <w:tcW w:w="23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公务用车购置及运行费</w:t>
            </w:r>
          </w:p>
        </w:tc>
        <w:tc>
          <w:tcPr>
            <w:tcW w:w="67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公务接待费</w:t>
            </w:r>
          </w:p>
        </w:tc>
      </w:tr>
      <w:tr w:rsidR="000D6120">
        <w:trPr>
          <w:trHeight w:val="615"/>
        </w:trPr>
        <w:tc>
          <w:tcPr>
            <w:tcW w:w="1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c>
          <w:tcPr>
            <w:tcW w:w="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小计</w:t>
            </w:r>
          </w:p>
        </w:tc>
        <w:tc>
          <w:tcPr>
            <w:tcW w:w="7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公务用车购置费</w:t>
            </w:r>
          </w:p>
        </w:tc>
        <w:tc>
          <w:tcPr>
            <w:tcW w:w="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公务用车运行费</w:t>
            </w:r>
          </w:p>
        </w:tc>
        <w:tc>
          <w:tcPr>
            <w:tcW w:w="5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c>
          <w:tcPr>
            <w:tcW w:w="6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c>
          <w:tcPr>
            <w:tcW w:w="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c>
          <w:tcPr>
            <w:tcW w:w="6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小计</w:t>
            </w:r>
          </w:p>
        </w:tc>
        <w:tc>
          <w:tcPr>
            <w:tcW w:w="8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公务用车购置费</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6"/>
                <w:szCs w:val="16"/>
              </w:rPr>
            </w:pPr>
            <w:r>
              <w:rPr>
                <w:rFonts w:ascii="宋体" w:hAnsi="宋体" w:cs="宋体" w:hint="eastAsia"/>
                <w:color w:val="000000"/>
                <w:sz w:val="16"/>
                <w:szCs w:val="16"/>
              </w:rPr>
              <w:t>公务用车运行费</w:t>
            </w:r>
          </w:p>
        </w:tc>
        <w:tc>
          <w:tcPr>
            <w:tcW w:w="67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0D6120">
            <w:pPr>
              <w:jc w:val="center"/>
              <w:rPr>
                <w:rFonts w:ascii="宋体" w:hAnsi="宋体" w:cs="宋体"/>
                <w:color w:val="000000"/>
                <w:sz w:val="16"/>
                <w:szCs w:val="16"/>
              </w:rPr>
            </w:pPr>
          </w:p>
        </w:tc>
      </w:tr>
      <w:tr w:rsidR="000D6120">
        <w:trPr>
          <w:trHeight w:val="308"/>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7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5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6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6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8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6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r>
      <w:tr w:rsidR="000D6120">
        <w:trPr>
          <w:trHeight w:val="308"/>
        </w:trPr>
        <w:tc>
          <w:tcPr>
            <w:tcW w:w="100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sz w:val="20"/>
                <w:szCs w:val="20"/>
              </w:rPr>
              <w:t>14.</w:t>
            </w:r>
            <w:r w:rsidR="0024417C">
              <w:rPr>
                <w:rFonts w:ascii="宋体" w:hAnsi="宋体" w:cs="宋体" w:hint="eastAsia"/>
                <w:sz w:val="20"/>
                <w:szCs w:val="20"/>
              </w:rPr>
              <w:t>4</w:t>
            </w:r>
            <w:r>
              <w:rPr>
                <w:rFonts w:ascii="宋体" w:hAnsi="宋体" w:cs="宋体"/>
                <w:sz w:val="20"/>
                <w:szCs w:val="20"/>
              </w:rPr>
              <w:t>3</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sz w:val="20"/>
                <w:szCs w:val="20"/>
              </w:rPr>
              <w:t>14.</w:t>
            </w:r>
            <w:r w:rsidR="0024417C">
              <w:rPr>
                <w:rFonts w:ascii="宋体" w:hAnsi="宋体" w:cs="宋体" w:hint="eastAsia"/>
                <w:sz w:val="20"/>
                <w:szCs w:val="20"/>
              </w:rPr>
              <w:t>4</w:t>
            </w:r>
            <w:r>
              <w:rPr>
                <w:rFonts w:ascii="宋体" w:hAnsi="宋体" w:cs="宋体"/>
                <w:sz w:val="20"/>
                <w:szCs w:val="20"/>
              </w:rPr>
              <w:t>3</w:t>
            </w: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right"/>
              <w:rPr>
                <w:rFonts w:ascii="宋体" w:hAnsi="宋体" w:cs="宋体"/>
                <w:color w:val="000000"/>
                <w:sz w:val="18"/>
                <w:szCs w:val="18"/>
              </w:rPr>
            </w:pPr>
            <w:r>
              <w:rPr>
                <w:rFonts w:ascii="宋体" w:hAnsi="宋体" w:cs="宋体"/>
                <w:sz w:val="20"/>
                <w:szCs w:val="20"/>
              </w:rPr>
              <w:t>14.</w:t>
            </w:r>
            <w:r w:rsidR="0024417C">
              <w:rPr>
                <w:rFonts w:ascii="宋体" w:hAnsi="宋体" w:cs="宋体" w:hint="eastAsia"/>
                <w:sz w:val="20"/>
                <w:szCs w:val="20"/>
              </w:rPr>
              <w:t>2</w:t>
            </w:r>
            <w:r>
              <w:rPr>
                <w:rFonts w:ascii="宋体" w:hAnsi="宋体" w:cs="宋体" w:hint="eastAsia"/>
                <w:sz w:val="20"/>
                <w:szCs w:val="20"/>
              </w:rPr>
              <w:t>0</w:t>
            </w:r>
          </w:p>
        </w:tc>
        <w:tc>
          <w:tcPr>
            <w:tcW w:w="5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right"/>
              <w:rPr>
                <w:rFonts w:ascii="宋体" w:hAnsi="宋体" w:cs="宋体"/>
                <w:color w:val="000000"/>
                <w:sz w:val="18"/>
                <w:szCs w:val="18"/>
              </w:rPr>
            </w:pPr>
            <w:r>
              <w:rPr>
                <w:rFonts w:ascii="宋体" w:hAnsi="宋体" w:cs="宋体"/>
                <w:sz w:val="20"/>
                <w:szCs w:val="20"/>
              </w:rPr>
              <w:t>0.23</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DF554A">
            <w:pPr>
              <w:jc w:val="center"/>
              <w:textAlignment w:val="center"/>
              <w:rPr>
                <w:rFonts w:ascii="宋体" w:hAnsi="宋体" w:cs="宋体"/>
                <w:color w:val="000000"/>
                <w:sz w:val="18"/>
                <w:szCs w:val="18"/>
              </w:rPr>
            </w:pPr>
            <w:r>
              <w:rPr>
                <w:rFonts w:ascii="宋体" w:hAnsi="宋体" w:cs="宋体" w:hint="eastAsia"/>
                <w:color w:val="000000"/>
                <w:sz w:val="18"/>
                <w:szCs w:val="18"/>
              </w:rPr>
              <w:t>10.25</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0</w:t>
            </w: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DF554A">
            <w:pPr>
              <w:jc w:val="center"/>
              <w:textAlignment w:val="center"/>
              <w:rPr>
                <w:rFonts w:ascii="宋体" w:hAnsi="宋体" w:cs="宋体"/>
                <w:color w:val="000000"/>
                <w:sz w:val="18"/>
                <w:szCs w:val="18"/>
              </w:rPr>
            </w:pPr>
            <w:r>
              <w:rPr>
                <w:rFonts w:ascii="宋体" w:hAnsi="宋体" w:cs="宋体" w:hint="eastAsia"/>
                <w:color w:val="000000"/>
                <w:sz w:val="18"/>
                <w:szCs w:val="18"/>
              </w:rPr>
              <w:t>10.25</w:t>
            </w:r>
          </w:p>
        </w:tc>
        <w:tc>
          <w:tcPr>
            <w:tcW w:w="8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DF554A">
            <w:pPr>
              <w:jc w:val="center"/>
              <w:textAlignment w:val="center"/>
              <w:rPr>
                <w:rFonts w:ascii="宋体" w:hAnsi="宋体" w:cs="宋体"/>
                <w:color w:val="000000"/>
                <w:sz w:val="18"/>
                <w:szCs w:val="18"/>
              </w:rPr>
            </w:pPr>
            <w:r>
              <w:rPr>
                <w:rFonts w:ascii="宋体" w:hAnsi="宋体" w:cs="宋体" w:hint="eastAsia"/>
                <w:color w:val="000000"/>
                <w:sz w:val="18"/>
                <w:szCs w:val="18"/>
              </w:rPr>
              <w:t>10.25</w:t>
            </w: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D6120" w:rsidRDefault="00245270">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0D6120">
        <w:trPr>
          <w:trHeight w:val="615"/>
        </w:trPr>
        <w:tc>
          <w:tcPr>
            <w:tcW w:w="9050" w:type="dxa"/>
            <w:gridSpan w:val="12"/>
            <w:tcBorders>
              <w:top w:val="nil"/>
              <w:left w:val="nil"/>
              <w:bottom w:val="nil"/>
              <w:right w:val="nil"/>
            </w:tcBorders>
            <w:shd w:val="clear" w:color="auto" w:fill="auto"/>
            <w:tcMar>
              <w:top w:w="15" w:type="dxa"/>
              <w:left w:w="15" w:type="dxa"/>
              <w:right w:w="15" w:type="dxa"/>
            </w:tcMar>
            <w:vAlign w:val="center"/>
          </w:tcPr>
          <w:p w:rsidR="000D6120" w:rsidRDefault="00245270">
            <w:pPr>
              <w:textAlignment w:val="center"/>
              <w:rPr>
                <w:rFonts w:ascii="宋体" w:hAnsi="宋体" w:cs="宋体"/>
                <w:color w:val="000000"/>
                <w:sz w:val="16"/>
                <w:szCs w:val="16"/>
              </w:rPr>
            </w:pPr>
            <w:r>
              <w:rPr>
                <w:rFonts w:ascii="宋体" w:hAnsi="宋体" w:cs="宋体" w:hint="eastAsia"/>
                <w:color w:val="000000"/>
                <w:sz w:val="16"/>
                <w:szCs w:val="16"/>
              </w:rPr>
              <w:t>注：本表反映本年度“三公”经费支出预决算情况。其中，预算数为“三公”经费全年预算数，反映按规定程序调整后的预算数；决算数是包括当年一般公共预算财政拨款和以前年度结转资金安排的实际支出。</w:t>
            </w:r>
          </w:p>
        </w:tc>
      </w:tr>
    </w:tbl>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黑体" w:eastAsia="黑体" w:cs="黑体"/>
          <w:sz w:val="72"/>
          <w:szCs w:val="72"/>
        </w:rPr>
      </w:pPr>
    </w:p>
    <w:p w:rsidR="000D6120" w:rsidRDefault="000D6120">
      <w:pPr>
        <w:widowControl w:val="0"/>
        <w:autoSpaceDE w:val="0"/>
        <w:autoSpaceDN w:val="0"/>
        <w:adjustRightInd w:val="0"/>
        <w:rPr>
          <w:rFonts w:ascii="黑体" w:eastAsia="黑体" w:cs="黑体"/>
          <w:sz w:val="72"/>
          <w:szCs w:val="72"/>
        </w:rPr>
      </w:pPr>
    </w:p>
    <w:p w:rsidR="000D6120" w:rsidRDefault="000D6120">
      <w:pPr>
        <w:widowControl w:val="0"/>
        <w:autoSpaceDE w:val="0"/>
        <w:autoSpaceDN w:val="0"/>
        <w:adjustRightInd w:val="0"/>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245270">
      <w:pPr>
        <w:widowControl w:val="0"/>
        <w:autoSpaceDE w:val="0"/>
        <w:autoSpaceDN w:val="0"/>
        <w:adjustRightInd w:val="0"/>
        <w:jc w:val="center"/>
        <w:rPr>
          <w:rFonts w:ascii="黑体" w:eastAsia="黑体" w:cs="黑体"/>
          <w:sz w:val="72"/>
          <w:szCs w:val="72"/>
        </w:rPr>
      </w:pPr>
      <w:r>
        <w:rPr>
          <w:rFonts w:ascii="黑体" w:eastAsia="黑体" w:cs="黑体" w:hint="eastAsia"/>
          <w:noProof/>
          <w:sz w:val="72"/>
          <w:szCs w:val="72"/>
        </w:rPr>
        <w:drawing>
          <wp:anchor distT="0" distB="0" distL="114300" distR="114300" simplePos="0" relativeHeight="251662336" behindDoc="1" locked="0" layoutInCell="1" allowOverlap="1">
            <wp:simplePos x="0" y="0"/>
            <wp:positionH relativeFrom="page">
              <wp:posOffset>-66675</wp:posOffset>
            </wp:positionH>
            <wp:positionV relativeFrom="page">
              <wp:posOffset>3933825</wp:posOffset>
            </wp:positionV>
            <wp:extent cx="7715250" cy="188595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srcRect/>
                    <a:stretch>
                      <a:fillRect/>
                    </a:stretch>
                  </pic:blipFill>
                  <pic:spPr>
                    <a:xfrm>
                      <a:off x="0" y="0"/>
                      <a:ext cx="7715250" cy="1885950"/>
                    </a:xfrm>
                    <a:prstGeom prst="rect">
                      <a:avLst/>
                    </a:prstGeom>
                    <a:noFill/>
                  </pic:spPr>
                </pic:pic>
              </a:graphicData>
            </a:graphic>
          </wp:anchor>
        </w:drawing>
      </w:r>
    </w:p>
    <w:p w:rsidR="000D6120" w:rsidRDefault="00245270">
      <w:pPr>
        <w:widowControl w:val="0"/>
        <w:autoSpaceDE w:val="0"/>
        <w:autoSpaceDN w:val="0"/>
        <w:adjustRightInd w:val="0"/>
        <w:jc w:val="center"/>
        <w:rPr>
          <w:rFonts w:ascii="黑体" w:eastAsia="黑体" w:cs="黑体"/>
          <w:sz w:val="72"/>
          <w:szCs w:val="72"/>
        </w:rPr>
      </w:pPr>
      <w:r>
        <w:rPr>
          <w:rFonts w:ascii="黑体" w:eastAsia="黑体" w:cs="黑体" w:hint="eastAsia"/>
          <w:sz w:val="72"/>
          <w:szCs w:val="72"/>
        </w:rPr>
        <w:t>第三部分</w:t>
      </w:r>
    </w:p>
    <w:p w:rsidR="000D6120" w:rsidRDefault="00EB7118">
      <w:pPr>
        <w:widowControl w:val="0"/>
        <w:tabs>
          <w:tab w:val="left" w:pos="9071"/>
        </w:tabs>
        <w:autoSpaceDE w:val="0"/>
        <w:autoSpaceDN w:val="0"/>
        <w:adjustRightInd w:val="0"/>
        <w:ind w:rightChars="-59" w:right="-142"/>
        <w:jc w:val="center"/>
        <w:rPr>
          <w:rFonts w:ascii="仿宋" w:eastAsia="仿宋" w:hAnsi="仿宋" w:cs="宋体"/>
          <w:sz w:val="32"/>
          <w:szCs w:val="32"/>
        </w:rPr>
      </w:pPr>
      <w:r>
        <w:rPr>
          <w:rFonts w:ascii="黑体" w:eastAsia="黑体" w:cs="黑体"/>
          <w:sz w:val="70"/>
          <w:szCs w:val="70"/>
        </w:rPr>
        <w:t>2021</w:t>
      </w:r>
      <w:r w:rsidR="00245270">
        <w:rPr>
          <w:rFonts w:ascii="黑体" w:eastAsia="黑体" w:cs="黑体" w:hint="eastAsia"/>
          <w:sz w:val="70"/>
          <w:szCs w:val="70"/>
        </w:rPr>
        <w:t>年度决算情况说明</w:t>
      </w: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widowControl w:val="0"/>
        <w:autoSpaceDE w:val="0"/>
        <w:autoSpaceDN w:val="0"/>
        <w:adjustRightInd w:val="0"/>
        <w:rPr>
          <w:rFonts w:ascii="仿宋" w:eastAsia="仿宋" w:hAnsi="仿宋" w:cs="宋体"/>
          <w:sz w:val="32"/>
          <w:szCs w:val="32"/>
        </w:rPr>
      </w:pPr>
    </w:p>
    <w:p w:rsidR="000D6120" w:rsidRDefault="000D6120">
      <w:pPr>
        <w:rPr>
          <w:rFonts w:ascii="黑体" w:eastAsia="黑体" w:cs="黑体"/>
          <w:sz w:val="32"/>
          <w:szCs w:val="32"/>
        </w:rPr>
      </w:pPr>
    </w:p>
    <w:p w:rsidR="000D6120" w:rsidRDefault="00245270">
      <w:pPr>
        <w:widowControl w:val="0"/>
        <w:autoSpaceDE w:val="0"/>
        <w:autoSpaceDN w:val="0"/>
        <w:adjustRightInd w:val="0"/>
        <w:snapToGrid w:val="0"/>
        <w:spacing w:before="100" w:beforeAutospacing="1" w:line="560" w:lineRule="exact"/>
        <w:ind w:firstLineChars="200" w:firstLine="640"/>
        <w:rPr>
          <w:rFonts w:ascii="黑体" w:eastAsia="黑体" w:cs="黑体"/>
          <w:sz w:val="32"/>
          <w:szCs w:val="32"/>
        </w:rPr>
      </w:pPr>
      <w:r>
        <w:rPr>
          <w:rFonts w:ascii="黑体" w:eastAsia="黑体" w:cs="黑体" w:hint="eastAsia"/>
          <w:sz w:val="32"/>
          <w:szCs w:val="32"/>
        </w:rPr>
        <w:lastRenderedPageBreak/>
        <w:t>一、收入支出决算总体情况说明</w:t>
      </w:r>
    </w:p>
    <w:p w:rsidR="000D6120" w:rsidRDefault="00EB7118">
      <w:pPr>
        <w:ind w:firstLineChars="200" w:firstLine="640"/>
        <w:rPr>
          <w:rFonts w:ascii="仿宋" w:eastAsia="仿宋" w:hAnsi="仿宋" w:cs="仿宋_GB2312"/>
          <w:sz w:val="32"/>
          <w:szCs w:val="32"/>
        </w:rPr>
      </w:pPr>
      <w:r>
        <w:rPr>
          <w:rFonts w:ascii="仿宋" w:eastAsia="仿宋" w:hAnsi="仿宋" w:cs="仿宋_GB2312" w:hint="eastAsia"/>
          <w:sz w:val="32"/>
          <w:szCs w:val="32"/>
        </w:rPr>
        <w:t>2021</w:t>
      </w:r>
      <w:r w:rsidR="00245270">
        <w:rPr>
          <w:rFonts w:ascii="仿宋" w:eastAsia="仿宋" w:hAnsi="仿宋" w:cs="仿宋_GB2312" w:hint="eastAsia"/>
          <w:sz w:val="32"/>
          <w:szCs w:val="32"/>
        </w:rPr>
        <w:t>年度总收入</w:t>
      </w:r>
      <w:r w:rsidR="00EC00F2">
        <w:rPr>
          <w:rFonts w:ascii="仿宋" w:eastAsia="仿宋" w:hAnsi="仿宋" w:cs="仿宋_GB2312" w:hint="eastAsia"/>
          <w:sz w:val="32"/>
          <w:szCs w:val="32"/>
        </w:rPr>
        <w:t>741.66</w:t>
      </w:r>
      <w:r w:rsidR="00245270">
        <w:rPr>
          <w:rFonts w:ascii="仿宋" w:eastAsia="仿宋" w:hAnsi="仿宋" w:cs="仿宋_GB2312" w:hint="eastAsia"/>
          <w:sz w:val="32"/>
          <w:szCs w:val="32"/>
        </w:rPr>
        <w:t>万元、总支出</w:t>
      </w:r>
      <w:r w:rsidR="00EC00F2">
        <w:rPr>
          <w:rFonts w:ascii="仿宋" w:eastAsia="仿宋" w:hAnsi="仿宋" w:cs="仿宋_GB2312" w:hint="eastAsia"/>
          <w:sz w:val="32"/>
          <w:szCs w:val="32"/>
        </w:rPr>
        <w:t>678.18</w:t>
      </w:r>
      <w:r w:rsidR="00245270">
        <w:rPr>
          <w:rFonts w:ascii="仿宋" w:eastAsia="仿宋" w:hAnsi="仿宋" w:cs="仿宋_GB2312" w:hint="eastAsia"/>
          <w:sz w:val="32"/>
          <w:szCs w:val="32"/>
        </w:rPr>
        <w:t>万元。</w:t>
      </w:r>
      <w:r>
        <w:rPr>
          <w:rFonts w:ascii="仿宋" w:eastAsia="仿宋" w:hAnsi="仿宋" w:hint="eastAsia"/>
          <w:sz w:val="32"/>
          <w:szCs w:val="32"/>
        </w:rPr>
        <w:t>2021</w:t>
      </w:r>
      <w:r w:rsidR="00245270">
        <w:rPr>
          <w:rFonts w:ascii="仿宋" w:eastAsia="仿宋" w:hAnsi="仿宋" w:hint="eastAsia"/>
          <w:sz w:val="32"/>
          <w:szCs w:val="32"/>
        </w:rPr>
        <w:t>年</w:t>
      </w:r>
      <w:r w:rsidR="00245270">
        <w:rPr>
          <w:rFonts w:ascii="仿宋" w:eastAsia="仿宋" w:hAnsi="仿宋" w:cs="仿宋_GB2312" w:hint="eastAsia"/>
          <w:sz w:val="32"/>
          <w:szCs w:val="32"/>
        </w:rPr>
        <w:t>总</w:t>
      </w:r>
      <w:r w:rsidR="00245270">
        <w:rPr>
          <w:rFonts w:ascii="仿宋" w:eastAsia="仿宋" w:hAnsi="仿宋" w:hint="eastAsia"/>
          <w:sz w:val="32"/>
          <w:szCs w:val="32"/>
        </w:rPr>
        <w:t>收入比202</w:t>
      </w:r>
      <w:r w:rsidR="00EC00F2">
        <w:rPr>
          <w:rFonts w:ascii="仿宋" w:eastAsia="仿宋" w:hAnsi="仿宋" w:hint="eastAsia"/>
          <w:sz w:val="32"/>
          <w:szCs w:val="32"/>
        </w:rPr>
        <w:t>0</w:t>
      </w:r>
      <w:r w:rsidR="00245270">
        <w:rPr>
          <w:rFonts w:ascii="仿宋" w:eastAsia="仿宋" w:hAnsi="仿宋" w:hint="eastAsia"/>
          <w:sz w:val="32"/>
          <w:szCs w:val="32"/>
        </w:rPr>
        <w:t>年</w:t>
      </w:r>
      <w:r w:rsidR="00245270">
        <w:rPr>
          <w:rFonts w:ascii="仿宋" w:eastAsia="仿宋" w:hAnsi="仿宋" w:cs="仿宋_GB2312" w:hint="eastAsia"/>
          <w:sz w:val="32"/>
          <w:szCs w:val="32"/>
        </w:rPr>
        <w:t>总收入</w:t>
      </w:r>
      <w:r w:rsidR="00EC00F2">
        <w:rPr>
          <w:rFonts w:ascii="仿宋" w:eastAsia="仿宋" w:hAnsi="仿宋" w:cs="仿宋_GB2312" w:hint="eastAsia"/>
          <w:sz w:val="32"/>
          <w:szCs w:val="32"/>
        </w:rPr>
        <w:t>1004.46</w:t>
      </w:r>
      <w:r w:rsidR="00245270">
        <w:rPr>
          <w:rFonts w:ascii="仿宋" w:eastAsia="仿宋" w:hAnsi="仿宋" w:hint="eastAsia"/>
          <w:sz w:val="32"/>
          <w:szCs w:val="32"/>
        </w:rPr>
        <w:t>万元</w:t>
      </w:r>
      <w:r w:rsidR="00EC00F2">
        <w:rPr>
          <w:rFonts w:ascii="仿宋" w:eastAsia="仿宋" w:hAnsi="仿宋" w:hint="eastAsia"/>
          <w:sz w:val="32"/>
          <w:szCs w:val="32"/>
        </w:rPr>
        <w:t>减少26.16</w:t>
      </w:r>
      <w:r w:rsidR="00245270">
        <w:rPr>
          <w:rFonts w:ascii="仿宋" w:eastAsia="仿宋" w:hAnsi="仿宋" w:hint="eastAsia"/>
          <w:sz w:val="32"/>
          <w:szCs w:val="32"/>
        </w:rPr>
        <w:t>%，</w:t>
      </w:r>
      <w:r w:rsidR="00245270">
        <w:rPr>
          <w:rFonts w:ascii="仿宋" w:eastAsia="仿宋" w:hAnsi="仿宋" w:cs="仿宋_GB2312" w:hint="eastAsia"/>
          <w:sz w:val="32"/>
          <w:szCs w:val="32"/>
        </w:rPr>
        <w:t>总</w:t>
      </w:r>
      <w:r w:rsidR="00245270">
        <w:rPr>
          <w:rFonts w:ascii="仿宋" w:eastAsia="仿宋" w:hAnsi="仿宋" w:hint="eastAsia"/>
          <w:sz w:val="32"/>
          <w:szCs w:val="32"/>
        </w:rPr>
        <w:t>支出比2021年</w:t>
      </w:r>
      <w:r w:rsidR="00245270">
        <w:rPr>
          <w:rFonts w:ascii="仿宋" w:eastAsia="仿宋" w:hAnsi="仿宋" w:cs="仿宋_GB2312" w:hint="eastAsia"/>
          <w:sz w:val="32"/>
          <w:szCs w:val="32"/>
        </w:rPr>
        <w:t>总支出</w:t>
      </w:r>
      <w:r w:rsidR="00EC00F2">
        <w:rPr>
          <w:rFonts w:ascii="仿宋" w:eastAsia="仿宋" w:hAnsi="仿宋" w:cs="仿宋_GB2312" w:hint="eastAsia"/>
          <w:sz w:val="32"/>
          <w:szCs w:val="32"/>
        </w:rPr>
        <w:t>922.64</w:t>
      </w:r>
      <w:r w:rsidR="00245270">
        <w:rPr>
          <w:rFonts w:ascii="仿宋" w:eastAsia="仿宋" w:hAnsi="仿宋" w:hint="eastAsia"/>
          <w:sz w:val="32"/>
          <w:szCs w:val="32"/>
        </w:rPr>
        <w:t>万元</w:t>
      </w:r>
      <w:r w:rsidR="00EC00F2">
        <w:rPr>
          <w:rFonts w:ascii="仿宋" w:eastAsia="仿宋" w:hAnsi="仿宋" w:hint="eastAsia"/>
          <w:sz w:val="32"/>
          <w:szCs w:val="32"/>
        </w:rPr>
        <w:t>减少26.50</w:t>
      </w:r>
      <w:r w:rsidR="00245270">
        <w:rPr>
          <w:rFonts w:ascii="仿宋" w:eastAsia="仿宋" w:hAnsi="仿宋" w:hint="eastAsia"/>
          <w:sz w:val="32"/>
          <w:szCs w:val="32"/>
        </w:rPr>
        <w:t>%。主要原因是</w:t>
      </w:r>
      <w:r w:rsidR="00EC00F2">
        <w:rPr>
          <w:rFonts w:ascii="仿宋" w:eastAsia="仿宋" w:hAnsi="仿宋" w:hint="eastAsia"/>
          <w:sz w:val="32"/>
          <w:szCs w:val="32"/>
        </w:rPr>
        <w:t>财政部压减了2021年预算资金</w:t>
      </w:r>
      <w:r w:rsidR="00245270">
        <w:rPr>
          <w:rFonts w:ascii="仿宋" w:eastAsia="仿宋" w:hAnsi="仿宋" w:hint="eastAsia"/>
          <w:sz w:val="32"/>
          <w:szCs w:val="32"/>
        </w:rPr>
        <w:t>。</w:t>
      </w:r>
    </w:p>
    <w:p w:rsidR="000D6120" w:rsidRDefault="000D6120">
      <w:pPr>
        <w:widowControl w:val="0"/>
        <w:autoSpaceDE w:val="0"/>
        <w:autoSpaceDN w:val="0"/>
        <w:adjustRightInd w:val="0"/>
        <w:rPr>
          <w:rFonts w:ascii="仿宋_GB2312" w:eastAsia="仿宋_GB2312" w:hAnsi="仿宋" w:cs="宋体"/>
          <w:sz w:val="32"/>
          <w:szCs w:val="32"/>
        </w:rPr>
      </w:pPr>
    </w:p>
    <w:p w:rsidR="000D6120" w:rsidRDefault="00245270">
      <w:pPr>
        <w:widowControl w:val="0"/>
        <w:autoSpaceDE w:val="0"/>
        <w:autoSpaceDN w:val="0"/>
        <w:adjustRightInd w:val="0"/>
        <w:jc w:val="center"/>
        <w:rPr>
          <w:rFonts w:ascii="仿宋" w:eastAsia="仿宋" w:hAnsi="仿宋" w:cs="仿宋_GB2312"/>
          <w:sz w:val="28"/>
          <w:szCs w:val="28"/>
        </w:rPr>
      </w:pPr>
      <w:r>
        <w:rPr>
          <w:rFonts w:ascii="仿宋" w:eastAsia="仿宋" w:hAnsi="仿宋" w:cs="仿宋_GB2312" w:hint="eastAsia"/>
          <w:sz w:val="28"/>
          <w:szCs w:val="28"/>
        </w:rPr>
        <w:t>图1：收、支决算总计变动情况</w:t>
      </w:r>
    </w:p>
    <w:p w:rsidR="000D6120" w:rsidRDefault="00245270">
      <w:pPr>
        <w:widowControl w:val="0"/>
        <w:autoSpaceDE w:val="0"/>
        <w:autoSpaceDN w:val="0"/>
        <w:adjustRightInd w:val="0"/>
        <w:jc w:val="center"/>
        <w:rPr>
          <w:rFonts w:ascii="仿宋" w:eastAsia="仿宋" w:hAnsi="仿宋" w:cs="仿宋_GB2312"/>
          <w:sz w:val="28"/>
          <w:szCs w:val="28"/>
        </w:rPr>
      </w:pPr>
      <w:r>
        <w:rPr>
          <w:rFonts w:ascii="仿宋" w:eastAsia="仿宋" w:hAnsi="仿宋" w:cs="仿宋_GB2312" w:hint="eastAsia"/>
          <w:sz w:val="28"/>
          <w:szCs w:val="28"/>
        </w:rPr>
        <w:t>（单位：万元）</w:t>
      </w:r>
    </w:p>
    <w:p w:rsidR="000D6120" w:rsidRDefault="00245270">
      <w:pPr>
        <w:widowControl w:val="0"/>
        <w:autoSpaceDE w:val="0"/>
        <w:autoSpaceDN w:val="0"/>
        <w:adjustRightInd w:val="0"/>
        <w:rPr>
          <w:rFonts w:ascii="仿宋" w:eastAsia="仿宋" w:hAnsi="仿宋" w:cs="宋体"/>
          <w:sz w:val="32"/>
          <w:szCs w:val="32"/>
        </w:rPr>
      </w:pPr>
      <w:r>
        <w:rPr>
          <w:rFonts w:ascii="仿宋" w:eastAsia="仿宋" w:hAnsi="仿宋" w:cs="宋体"/>
          <w:noProof/>
          <w:sz w:val="32"/>
          <w:szCs w:val="32"/>
        </w:rPr>
        <w:drawing>
          <wp:inline distT="0" distB="0" distL="0" distR="0">
            <wp:extent cx="5295900" cy="305943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120" w:rsidRDefault="00245270">
      <w:pPr>
        <w:ind w:firstLineChars="200" w:firstLine="640"/>
        <w:rPr>
          <w:rFonts w:ascii="仿宋" w:eastAsia="仿宋" w:hAnsi="仿宋" w:cs="宋体"/>
          <w:sz w:val="32"/>
          <w:szCs w:val="32"/>
        </w:rPr>
      </w:pPr>
      <w:r>
        <w:rPr>
          <w:rFonts w:ascii="黑体" w:eastAsia="黑体" w:cs="黑体" w:hint="eastAsia"/>
          <w:sz w:val="32"/>
          <w:szCs w:val="32"/>
        </w:rPr>
        <w:t>二、收入决算情况说明</w:t>
      </w:r>
    </w:p>
    <w:p w:rsidR="000D6120" w:rsidRDefault="00245270">
      <w:pPr>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本年收入合计</w:t>
      </w:r>
      <w:r w:rsidR="00EC00F2">
        <w:rPr>
          <w:rFonts w:ascii="仿宋" w:eastAsia="仿宋" w:hAnsi="仿宋" w:cs="仿宋_GB2312" w:hint="eastAsia"/>
          <w:sz w:val="32"/>
          <w:szCs w:val="32"/>
        </w:rPr>
        <w:t>741.66</w:t>
      </w:r>
      <w:r>
        <w:rPr>
          <w:rFonts w:ascii="仿宋" w:eastAsia="仿宋" w:hAnsi="仿宋" w:cs="仿宋_GB2312" w:hint="eastAsia"/>
          <w:sz w:val="32"/>
          <w:szCs w:val="32"/>
        </w:rPr>
        <w:t>万元，其中：财政拨款收入</w:t>
      </w:r>
      <w:r w:rsidR="00EC00F2">
        <w:rPr>
          <w:rFonts w:ascii="仿宋" w:eastAsia="仿宋" w:hAnsi="仿宋" w:cs="仿宋_GB2312" w:hint="eastAsia"/>
          <w:sz w:val="32"/>
          <w:szCs w:val="32"/>
        </w:rPr>
        <w:t>666.85</w:t>
      </w:r>
      <w:r>
        <w:rPr>
          <w:rFonts w:ascii="仿宋" w:eastAsia="仿宋" w:hAnsi="仿宋" w:cs="仿宋_GB2312" w:hint="eastAsia"/>
          <w:sz w:val="32"/>
          <w:szCs w:val="32"/>
        </w:rPr>
        <w:t>万元，占</w:t>
      </w:r>
      <w:r w:rsidR="00EC00F2">
        <w:rPr>
          <w:rFonts w:ascii="仿宋" w:eastAsia="仿宋" w:hAnsi="仿宋" w:hint="eastAsia"/>
          <w:sz w:val="32"/>
          <w:szCs w:val="32"/>
        </w:rPr>
        <w:t>89.91</w:t>
      </w:r>
      <w:r>
        <w:rPr>
          <w:rFonts w:ascii="仿宋" w:eastAsia="仿宋" w:hAnsi="仿宋" w:cs="仿宋_GB2312"/>
          <w:sz w:val="32"/>
          <w:szCs w:val="32"/>
        </w:rPr>
        <w:t>%</w:t>
      </w:r>
      <w:r>
        <w:rPr>
          <w:rFonts w:ascii="仿宋" w:eastAsia="仿宋" w:hAnsi="仿宋" w:cs="仿宋_GB2312" w:hint="eastAsia"/>
          <w:sz w:val="32"/>
          <w:szCs w:val="32"/>
        </w:rPr>
        <w:t>；其他收入</w:t>
      </w:r>
      <w:r w:rsidR="00EC00F2">
        <w:rPr>
          <w:rFonts w:ascii="仿宋" w:eastAsia="仿宋" w:hAnsi="仿宋" w:cs="仿宋_GB2312" w:hint="eastAsia"/>
          <w:sz w:val="32"/>
          <w:szCs w:val="32"/>
        </w:rPr>
        <w:t>74.81</w:t>
      </w:r>
      <w:r>
        <w:rPr>
          <w:rFonts w:ascii="仿宋" w:eastAsia="仿宋" w:hAnsi="仿宋" w:cs="仿宋_GB2312" w:hint="eastAsia"/>
          <w:sz w:val="32"/>
          <w:szCs w:val="32"/>
        </w:rPr>
        <w:t>万元，占</w:t>
      </w:r>
      <w:r w:rsidR="00EC00F2">
        <w:rPr>
          <w:rFonts w:ascii="仿宋" w:eastAsia="仿宋" w:hAnsi="仿宋" w:cs="仿宋_GB2312" w:hint="eastAsia"/>
          <w:sz w:val="32"/>
          <w:szCs w:val="32"/>
        </w:rPr>
        <w:t>10.09</w:t>
      </w:r>
      <w:r>
        <w:rPr>
          <w:rFonts w:ascii="仿宋" w:eastAsia="仿宋" w:hAnsi="仿宋" w:cs="仿宋_GB2312"/>
          <w:sz w:val="32"/>
          <w:szCs w:val="32"/>
        </w:rPr>
        <w:t>%</w:t>
      </w:r>
      <w:r>
        <w:rPr>
          <w:rFonts w:ascii="仿宋" w:eastAsia="仿宋" w:hAnsi="仿宋" w:cs="仿宋_GB2312" w:hint="eastAsia"/>
          <w:sz w:val="32"/>
          <w:szCs w:val="32"/>
        </w:rPr>
        <w:t>。</w:t>
      </w:r>
    </w:p>
    <w:p w:rsidR="000D6120" w:rsidRDefault="00245270">
      <w:pPr>
        <w:widowControl w:val="0"/>
        <w:autoSpaceDE w:val="0"/>
        <w:autoSpaceDN w:val="0"/>
        <w:adjustRightInd w:val="0"/>
        <w:snapToGrid w:val="0"/>
        <w:spacing w:before="100" w:beforeAutospacing="1" w:after="100" w:after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w:t>
      </w:r>
      <w:r>
        <w:rPr>
          <w:rFonts w:ascii="仿宋" w:eastAsia="仿宋" w:hAnsi="仿宋" w:cs="仿宋_GB2312"/>
          <w:sz w:val="28"/>
          <w:szCs w:val="28"/>
        </w:rPr>
        <w:t>2</w:t>
      </w:r>
      <w:r>
        <w:rPr>
          <w:rFonts w:ascii="仿宋" w:eastAsia="仿宋" w:hAnsi="仿宋" w:cs="仿宋_GB2312" w:hint="eastAsia"/>
          <w:sz w:val="28"/>
          <w:szCs w:val="28"/>
        </w:rPr>
        <w:t>：收入决算</w:t>
      </w:r>
    </w:p>
    <w:p w:rsidR="000D6120" w:rsidRDefault="00245270">
      <w:pPr>
        <w:widowControl w:val="0"/>
        <w:autoSpaceDE w:val="0"/>
        <w:autoSpaceDN w:val="0"/>
        <w:adjustRightInd w:val="0"/>
        <w:rPr>
          <w:rFonts w:ascii="仿宋" w:eastAsia="仿宋" w:hAnsi="仿宋" w:cs="宋体"/>
          <w:sz w:val="32"/>
          <w:szCs w:val="32"/>
        </w:rPr>
      </w:pPr>
      <w:r>
        <w:rPr>
          <w:rFonts w:ascii="仿宋" w:eastAsia="仿宋" w:hAnsi="仿宋" w:cs="宋体"/>
          <w:noProof/>
          <w:sz w:val="32"/>
          <w:szCs w:val="32"/>
        </w:rPr>
        <w:drawing>
          <wp:inline distT="0" distB="0" distL="0" distR="0">
            <wp:extent cx="6172200" cy="2152650"/>
            <wp:effectExtent l="0" t="0" r="0" b="0"/>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6120" w:rsidRDefault="00245270" w:rsidP="009A00B1">
      <w:pPr>
        <w:snapToGrid w:val="0"/>
        <w:spacing w:line="560" w:lineRule="exact"/>
        <w:ind w:firstLineChars="200" w:firstLine="640"/>
        <w:rPr>
          <w:rFonts w:ascii="仿宋" w:eastAsia="仿宋" w:hAnsi="仿宋" w:cs="宋体"/>
          <w:sz w:val="32"/>
          <w:szCs w:val="32"/>
        </w:rPr>
      </w:pPr>
      <w:r>
        <w:rPr>
          <w:rFonts w:ascii="黑体" w:eastAsia="黑体" w:cs="黑体" w:hint="eastAsia"/>
          <w:sz w:val="32"/>
          <w:szCs w:val="32"/>
        </w:rPr>
        <w:lastRenderedPageBreak/>
        <w:t>三、支出决算情况说明</w:t>
      </w:r>
    </w:p>
    <w:p w:rsidR="000D6120" w:rsidRDefault="00A51C44" w:rsidP="009A00B1">
      <w:pPr>
        <w:adjustRightInd w:val="0"/>
        <w:snapToGrid w:val="0"/>
        <w:spacing w:line="560" w:lineRule="exact"/>
        <w:jc w:val="both"/>
        <w:rPr>
          <w:rFonts w:ascii="仿宋" w:eastAsia="仿宋" w:hAnsi="仿宋" w:cs="宋体"/>
          <w:sz w:val="32"/>
          <w:szCs w:val="32"/>
        </w:rPr>
      </w:pPr>
      <w:r>
        <w:rPr>
          <w:rFonts w:ascii="仿宋" w:eastAsia="仿宋" w:hAnsi="仿宋" w:cs="仿宋_GB2312" w:hint="eastAsia"/>
          <w:sz w:val="32"/>
          <w:szCs w:val="32"/>
        </w:rPr>
        <w:t xml:space="preserve">    </w:t>
      </w:r>
      <w:r w:rsidR="00245270">
        <w:rPr>
          <w:rFonts w:ascii="仿宋" w:eastAsia="仿宋" w:hAnsi="仿宋" w:cs="仿宋_GB2312" w:hint="eastAsia"/>
          <w:sz w:val="32"/>
          <w:szCs w:val="32"/>
        </w:rPr>
        <w:t>本年支出合计</w:t>
      </w:r>
      <w:r>
        <w:rPr>
          <w:rFonts w:ascii="仿宋" w:eastAsia="仿宋" w:hAnsi="仿宋" w:cs="Arial" w:hint="eastAsia"/>
          <w:bCs/>
          <w:color w:val="000000"/>
          <w:sz w:val="32"/>
          <w:szCs w:val="32"/>
        </w:rPr>
        <w:t>678.18</w:t>
      </w:r>
      <w:r w:rsidR="00245270">
        <w:rPr>
          <w:rFonts w:ascii="仿宋" w:eastAsia="仿宋" w:hAnsi="仿宋" w:cs="仿宋_GB2312" w:hint="eastAsia"/>
          <w:sz w:val="32"/>
          <w:szCs w:val="32"/>
        </w:rPr>
        <w:t>万元，其中：基本支出</w:t>
      </w:r>
      <w:r>
        <w:rPr>
          <w:rFonts w:ascii="仿宋" w:eastAsia="仿宋" w:hAnsi="仿宋" w:cs="Arial" w:hint="eastAsia"/>
          <w:bCs/>
          <w:color w:val="000000"/>
          <w:sz w:val="32"/>
          <w:szCs w:val="32"/>
        </w:rPr>
        <w:t>409.69</w:t>
      </w:r>
      <w:r w:rsidR="00245270">
        <w:rPr>
          <w:rFonts w:ascii="仿宋" w:eastAsia="仿宋" w:hAnsi="仿宋" w:cs="仿宋_GB2312" w:hint="eastAsia"/>
          <w:sz w:val="32"/>
          <w:szCs w:val="32"/>
        </w:rPr>
        <w:t>万元，占</w:t>
      </w:r>
      <w:r>
        <w:rPr>
          <w:rFonts w:ascii="仿宋" w:eastAsia="仿宋" w:hAnsi="仿宋" w:hint="eastAsia"/>
          <w:sz w:val="32"/>
          <w:szCs w:val="32"/>
        </w:rPr>
        <w:t>60.41</w:t>
      </w:r>
      <w:r w:rsidR="00245270">
        <w:rPr>
          <w:rFonts w:ascii="仿宋" w:eastAsia="仿宋" w:hAnsi="仿宋" w:cs="仿宋_GB2312" w:hint="eastAsia"/>
          <w:sz w:val="32"/>
          <w:szCs w:val="32"/>
        </w:rPr>
        <w:t>%；项目支出</w:t>
      </w:r>
      <w:r>
        <w:rPr>
          <w:rFonts w:ascii="仿宋" w:eastAsia="仿宋" w:hAnsi="仿宋" w:cs="Arial" w:hint="eastAsia"/>
          <w:bCs/>
          <w:color w:val="000000"/>
          <w:sz w:val="32"/>
          <w:szCs w:val="32"/>
        </w:rPr>
        <w:t>268.49</w:t>
      </w:r>
      <w:r w:rsidR="00245270">
        <w:rPr>
          <w:rFonts w:ascii="仿宋" w:eastAsia="仿宋" w:hAnsi="仿宋" w:cs="仿宋_GB2312" w:hint="eastAsia"/>
          <w:sz w:val="32"/>
          <w:szCs w:val="32"/>
        </w:rPr>
        <w:t>万元，占</w:t>
      </w:r>
      <w:r>
        <w:rPr>
          <w:rFonts w:ascii="仿宋" w:eastAsia="仿宋" w:hAnsi="仿宋" w:hint="eastAsia"/>
          <w:sz w:val="32"/>
          <w:szCs w:val="32"/>
        </w:rPr>
        <w:t>39.59</w:t>
      </w:r>
      <w:r w:rsidR="00245270">
        <w:rPr>
          <w:rFonts w:ascii="仿宋" w:eastAsia="仿宋" w:hAnsi="仿宋" w:cs="仿宋_GB2312" w:hint="eastAsia"/>
          <w:sz w:val="32"/>
          <w:szCs w:val="32"/>
        </w:rPr>
        <w:t>%。</w:t>
      </w:r>
    </w:p>
    <w:p w:rsidR="000D6120" w:rsidRDefault="00245270">
      <w:pPr>
        <w:widowControl w:val="0"/>
        <w:autoSpaceDE w:val="0"/>
        <w:autoSpaceDN w:val="0"/>
        <w:adjustRightInd w:val="0"/>
        <w:snapToGrid w:val="0"/>
        <w:spacing w:before="100" w:beforeAutospacing="1" w:after="100" w:after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图3：支出决算</w:t>
      </w:r>
    </w:p>
    <w:p w:rsidR="000D6120" w:rsidRDefault="00245270">
      <w:pPr>
        <w:widowControl w:val="0"/>
        <w:autoSpaceDE w:val="0"/>
        <w:autoSpaceDN w:val="0"/>
        <w:adjustRightInd w:val="0"/>
        <w:rPr>
          <w:rFonts w:ascii="仿宋_GB2312" w:eastAsia="仿宋_GB2312" w:cs="仿宋_GB2312"/>
          <w:sz w:val="28"/>
          <w:szCs w:val="28"/>
        </w:rPr>
      </w:pPr>
      <w:r>
        <w:rPr>
          <w:rFonts w:ascii="仿宋_GB2312" w:eastAsia="仿宋_GB2312" w:cs="仿宋_GB2312"/>
          <w:noProof/>
          <w:sz w:val="28"/>
          <w:szCs w:val="28"/>
        </w:rPr>
        <w:drawing>
          <wp:inline distT="0" distB="0" distL="0" distR="0">
            <wp:extent cx="6172200" cy="1885315"/>
            <wp:effectExtent l="0" t="0" r="0" b="0"/>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6120" w:rsidRDefault="00245270" w:rsidP="009A00B1">
      <w:pPr>
        <w:spacing w:line="560" w:lineRule="exact"/>
        <w:ind w:firstLineChars="200" w:firstLine="640"/>
        <w:rPr>
          <w:rFonts w:ascii="黑体" w:eastAsia="黑体" w:cs="黑体"/>
          <w:sz w:val="32"/>
          <w:szCs w:val="32"/>
        </w:rPr>
      </w:pPr>
      <w:r>
        <w:rPr>
          <w:rFonts w:ascii="黑体" w:eastAsia="黑体" w:cs="黑体" w:hint="eastAsia"/>
          <w:sz w:val="32"/>
          <w:szCs w:val="32"/>
        </w:rPr>
        <w:t>四、财政拨款收入支出决算总体情况说明</w:t>
      </w:r>
    </w:p>
    <w:p w:rsidR="000D6120" w:rsidRDefault="002E250E" w:rsidP="009A00B1">
      <w:pPr>
        <w:adjustRightInd w:val="0"/>
        <w:snapToGrid w:val="0"/>
        <w:spacing w:line="560" w:lineRule="exact"/>
        <w:jc w:val="both"/>
        <w:rPr>
          <w:rFonts w:ascii="仿宋" w:eastAsia="仿宋" w:hAnsi="仿宋" w:cs="仿宋_GB2312"/>
          <w:sz w:val="32"/>
          <w:szCs w:val="32"/>
        </w:rPr>
      </w:pPr>
      <w:r>
        <w:rPr>
          <w:rFonts w:ascii="仿宋" w:eastAsia="仿宋" w:hAnsi="仿宋" w:cs="仿宋_GB2312" w:hint="eastAsia"/>
          <w:sz w:val="32"/>
          <w:szCs w:val="32"/>
        </w:rPr>
        <w:t xml:space="preserve">    </w:t>
      </w:r>
      <w:r w:rsidR="00EB7118">
        <w:rPr>
          <w:rFonts w:ascii="仿宋" w:eastAsia="仿宋" w:hAnsi="仿宋" w:cs="仿宋_GB2312" w:hint="eastAsia"/>
          <w:sz w:val="32"/>
          <w:szCs w:val="32"/>
        </w:rPr>
        <w:t>2021</w:t>
      </w:r>
      <w:r w:rsidR="00245270">
        <w:rPr>
          <w:rFonts w:ascii="仿宋" w:eastAsia="仿宋" w:hAnsi="仿宋" w:cs="仿宋_GB2312" w:hint="eastAsia"/>
          <w:sz w:val="32"/>
          <w:szCs w:val="32"/>
        </w:rPr>
        <w:t>年财政拨款收入</w:t>
      </w:r>
      <w:r w:rsidR="00A51C44">
        <w:rPr>
          <w:rFonts w:ascii="仿宋" w:eastAsia="仿宋" w:hAnsi="仿宋" w:cs="仿宋_GB2312" w:hint="eastAsia"/>
          <w:sz w:val="32"/>
          <w:szCs w:val="32"/>
        </w:rPr>
        <w:t>666.85</w:t>
      </w:r>
      <w:r w:rsidR="00245270">
        <w:rPr>
          <w:rFonts w:ascii="仿宋" w:eastAsia="仿宋" w:hAnsi="仿宋" w:cs="仿宋_GB2312" w:hint="eastAsia"/>
          <w:sz w:val="32"/>
          <w:szCs w:val="32"/>
        </w:rPr>
        <w:t>万元，财政拨款支出</w:t>
      </w:r>
      <w:r w:rsidR="00A51C44">
        <w:rPr>
          <w:rFonts w:ascii="仿宋" w:eastAsia="仿宋" w:hAnsi="仿宋" w:cs="仿宋_GB2312" w:hint="eastAsia"/>
          <w:sz w:val="32"/>
          <w:szCs w:val="32"/>
        </w:rPr>
        <w:t>630.18</w:t>
      </w:r>
      <w:r w:rsidR="00245270">
        <w:rPr>
          <w:rFonts w:ascii="仿宋" w:eastAsia="仿宋" w:hAnsi="仿宋" w:cs="仿宋_GB2312" w:hint="eastAsia"/>
          <w:sz w:val="32"/>
          <w:szCs w:val="32"/>
        </w:rPr>
        <w:t>万元；</w:t>
      </w:r>
      <w:r w:rsidR="00A51C44">
        <w:rPr>
          <w:rFonts w:ascii="仿宋" w:eastAsia="仿宋" w:hAnsi="仿宋" w:cs="仿宋_GB2312" w:hint="eastAsia"/>
          <w:sz w:val="32"/>
          <w:szCs w:val="32"/>
        </w:rPr>
        <w:t>2020</w:t>
      </w:r>
      <w:r w:rsidR="00245270">
        <w:rPr>
          <w:rFonts w:ascii="仿宋" w:eastAsia="仿宋" w:hAnsi="仿宋" w:cs="仿宋_GB2312" w:hint="eastAsia"/>
          <w:sz w:val="32"/>
          <w:szCs w:val="32"/>
        </w:rPr>
        <w:t>年财政拨款收入</w:t>
      </w:r>
      <w:r w:rsidR="00A51C44">
        <w:rPr>
          <w:rFonts w:ascii="仿宋" w:eastAsia="仿宋" w:hAnsi="仿宋" w:cs="仿宋_GB2312" w:hint="eastAsia"/>
          <w:sz w:val="32"/>
          <w:szCs w:val="32"/>
        </w:rPr>
        <w:t>936.81</w:t>
      </w:r>
      <w:r w:rsidR="00245270">
        <w:rPr>
          <w:rFonts w:ascii="仿宋" w:eastAsia="仿宋" w:hAnsi="仿宋" w:cs="仿宋_GB2312" w:hint="eastAsia"/>
          <w:sz w:val="32"/>
          <w:szCs w:val="32"/>
        </w:rPr>
        <w:t>万元，财政拨款支出</w:t>
      </w:r>
      <w:r w:rsidR="00A51C44">
        <w:rPr>
          <w:rFonts w:ascii="仿宋" w:eastAsia="仿宋" w:hAnsi="仿宋" w:cs="仿宋_GB2312" w:hint="eastAsia"/>
          <w:sz w:val="32"/>
          <w:szCs w:val="32"/>
        </w:rPr>
        <w:t>876.68</w:t>
      </w:r>
      <w:r w:rsidR="00245270">
        <w:rPr>
          <w:rFonts w:ascii="仿宋" w:eastAsia="仿宋" w:hAnsi="仿宋" w:cs="仿宋_GB2312" w:hint="eastAsia"/>
          <w:sz w:val="32"/>
          <w:szCs w:val="32"/>
        </w:rPr>
        <w:t>万元。</w:t>
      </w:r>
      <w:r w:rsidR="00EB7118">
        <w:rPr>
          <w:rFonts w:ascii="仿宋" w:eastAsia="仿宋" w:hAnsi="仿宋" w:cs="仿宋_GB2312" w:hint="eastAsia"/>
          <w:sz w:val="32"/>
          <w:szCs w:val="32"/>
        </w:rPr>
        <w:t>2021</w:t>
      </w:r>
      <w:r w:rsidR="00245270">
        <w:rPr>
          <w:rFonts w:ascii="仿宋" w:eastAsia="仿宋" w:hAnsi="仿宋" w:cs="仿宋_GB2312" w:hint="eastAsia"/>
          <w:sz w:val="32"/>
          <w:szCs w:val="32"/>
        </w:rPr>
        <w:t>年财政拨款收入比</w:t>
      </w:r>
      <w:r w:rsidR="00A51C44">
        <w:rPr>
          <w:rFonts w:ascii="仿宋" w:eastAsia="仿宋" w:hAnsi="仿宋" w:cs="仿宋_GB2312" w:hint="eastAsia"/>
          <w:sz w:val="32"/>
          <w:szCs w:val="32"/>
        </w:rPr>
        <w:t>2020</w:t>
      </w:r>
      <w:r w:rsidR="00245270">
        <w:rPr>
          <w:rFonts w:ascii="仿宋" w:eastAsia="仿宋" w:hAnsi="仿宋" w:cs="仿宋_GB2312" w:hint="eastAsia"/>
          <w:sz w:val="32"/>
          <w:szCs w:val="32"/>
        </w:rPr>
        <w:t>年</w:t>
      </w:r>
      <w:r w:rsidR="00A51C44">
        <w:rPr>
          <w:rFonts w:ascii="仿宋" w:eastAsia="仿宋" w:hAnsi="仿宋" w:cs="仿宋_GB2312" w:hint="eastAsia"/>
          <w:sz w:val="32"/>
          <w:szCs w:val="32"/>
        </w:rPr>
        <w:t>减少</w:t>
      </w:r>
      <w:r w:rsidR="00A22E50">
        <w:rPr>
          <w:rFonts w:ascii="仿宋" w:eastAsia="仿宋" w:hAnsi="仿宋" w:cs="仿宋_GB2312" w:hint="eastAsia"/>
          <w:sz w:val="32"/>
          <w:szCs w:val="32"/>
        </w:rPr>
        <w:t>28.82</w:t>
      </w:r>
      <w:r w:rsidR="00245270">
        <w:rPr>
          <w:rFonts w:ascii="仿宋" w:eastAsia="仿宋" w:hAnsi="仿宋" w:cs="仿宋_GB2312" w:hint="eastAsia"/>
          <w:sz w:val="32"/>
          <w:szCs w:val="32"/>
        </w:rPr>
        <w:t>%，财政拨款支出比</w:t>
      </w:r>
      <w:r w:rsidR="00A22E50">
        <w:rPr>
          <w:rFonts w:ascii="仿宋" w:eastAsia="仿宋" w:hAnsi="仿宋" w:cs="仿宋_GB2312" w:hint="eastAsia"/>
          <w:sz w:val="32"/>
          <w:szCs w:val="32"/>
        </w:rPr>
        <w:t>2020</w:t>
      </w:r>
      <w:r w:rsidR="00245270">
        <w:rPr>
          <w:rFonts w:ascii="仿宋" w:eastAsia="仿宋" w:hAnsi="仿宋" w:cs="仿宋_GB2312" w:hint="eastAsia"/>
          <w:sz w:val="32"/>
          <w:szCs w:val="32"/>
        </w:rPr>
        <w:t>年</w:t>
      </w:r>
      <w:r w:rsidR="00A51C44">
        <w:rPr>
          <w:rFonts w:ascii="仿宋" w:eastAsia="仿宋" w:hAnsi="仿宋" w:cs="仿宋_GB2312" w:hint="eastAsia"/>
          <w:sz w:val="32"/>
          <w:szCs w:val="32"/>
        </w:rPr>
        <w:t>减少</w:t>
      </w:r>
      <w:r w:rsidR="00A22E50">
        <w:rPr>
          <w:rFonts w:ascii="仿宋" w:eastAsia="仿宋" w:hAnsi="仿宋" w:cs="仿宋_GB2312" w:hint="eastAsia"/>
          <w:sz w:val="32"/>
          <w:szCs w:val="32"/>
        </w:rPr>
        <w:t>28.12</w:t>
      </w:r>
      <w:r w:rsidR="00245270">
        <w:rPr>
          <w:rFonts w:ascii="仿宋" w:eastAsia="仿宋" w:hAnsi="仿宋" w:cs="仿宋_GB2312" w:hint="eastAsia"/>
          <w:sz w:val="32"/>
          <w:szCs w:val="32"/>
        </w:rPr>
        <w:t>%。</w:t>
      </w:r>
      <w:r w:rsidR="00A51C44" w:rsidRPr="002E250E">
        <w:rPr>
          <w:rFonts w:ascii="仿宋" w:eastAsia="仿宋" w:hAnsi="仿宋" w:cs="仿宋_GB2312" w:hint="eastAsia"/>
          <w:sz w:val="32"/>
          <w:szCs w:val="32"/>
        </w:rPr>
        <w:t>主要原因是财政部压减了2021年预算资金</w:t>
      </w:r>
      <w:r w:rsidR="00245270">
        <w:rPr>
          <w:rFonts w:ascii="仿宋" w:eastAsia="仿宋" w:hAnsi="仿宋" w:cs="仿宋_GB2312" w:hint="eastAsia"/>
          <w:sz w:val="32"/>
          <w:szCs w:val="32"/>
        </w:rPr>
        <w:t>。</w:t>
      </w:r>
    </w:p>
    <w:p w:rsidR="000D6120" w:rsidRDefault="00245270">
      <w:pPr>
        <w:widowControl w:val="0"/>
        <w:autoSpaceDE w:val="0"/>
        <w:autoSpaceDN w:val="0"/>
        <w:adjustRightInd w:val="0"/>
        <w:snapToGrid w:val="0"/>
        <w:spacing w:before="100" w:before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图4：财政拨款收、支决算总计变动情况</w:t>
      </w:r>
    </w:p>
    <w:p w:rsidR="000D6120" w:rsidRDefault="00245270">
      <w:pPr>
        <w:widowControl w:val="0"/>
        <w:autoSpaceDE w:val="0"/>
        <w:autoSpaceDN w:val="0"/>
        <w:adjustRightInd w:val="0"/>
        <w:snapToGrid w:val="0"/>
        <w:spacing w:line="560" w:lineRule="exact"/>
        <w:jc w:val="center"/>
        <w:rPr>
          <w:rFonts w:ascii="仿宋" w:eastAsia="仿宋" w:hAnsi="仿宋" w:cs="仿宋_GB2312"/>
          <w:sz w:val="28"/>
          <w:szCs w:val="28"/>
        </w:rPr>
      </w:pPr>
      <w:r>
        <w:rPr>
          <w:rFonts w:ascii="仿宋" w:eastAsia="仿宋" w:hAnsi="仿宋" w:cs="仿宋_GB2312" w:hint="eastAsia"/>
          <w:sz w:val="28"/>
          <w:szCs w:val="28"/>
        </w:rPr>
        <w:t>（单位：万元）</w:t>
      </w:r>
    </w:p>
    <w:p w:rsidR="000D6120" w:rsidRDefault="00245270">
      <w:pPr>
        <w:widowControl w:val="0"/>
        <w:autoSpaceDE w:val="0"/>
        <w:autoSpaceDN w:val="0"/>
        <w:adjustRightInd w:val="0"/>
        <w:rPr>
          <w:rFonts w:ascii="仿宋_GB2312" w:eastAsia="仿宋_GB2312" w:cs="仿宋_GB2312"/>
          <w:sz w:val="28"/>
          <w:szCs w:val="28"/>
        </w:rPr>
      </w:pPr>
      <w:r>
        <w:rPr>
          <w:rFonts w:ascii="仿宋_GB2312" w:eastAsia="仿宋_GB2312" w:cs="仿宋_GB2312"/>
          <w:noProof/>
          <w:sz w:val="28"/>
          <w:szCs w:val="28"/>
        </w:rPr>
        <w:drawing>
          <wp:inline distT="0" distB="0" distL="0" distR="0">
            <wp:extent cx="5381625" cy="2403475"/>
            <wp:effectExtent l="0" t="0" r="0"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6120" w:rsidRDefault="00245270" w:rsidP="00F861F8">
      <w:pPr>
        <w:rPr>
          <w:rFonts w:ascii="仿宋_GB2312" w:eastAsia="仿宋_GB2312" w:cs="仿宋_GB2312"/>
          <w:sz w:val="28"/>
          <w:szCs w:val="28"/>
        </w:rPr>
      </w:pPr>
      <w:r>
        <w:rPr>
          <w:rFonts w:ascii="仿宋_GB2312" w:eastAsia="仿宋_GB2312" w:cs="仿宋_GB2312"/>
          <w:sz w:val="28"/>
          <w:szCs w:val="28"/>
        </w:rPr>
        <w:br w:type="page"/>
      </w:r>
      <w:r w:rsidR="00F861F8">
        <w:rPr>
          <w:rFonts w:ascii="仿宋_GB2312" w:eastAsia="仿宋_GB2312" w:cs="仿宋_GB2312" w:hint="eastAsia"/>
          <w:sz w:val="28"/>
          <w:szCs w:val="28"/>
        </w:rPr>
        <w:lastRenderedPageBreak/>
        <w:t xml:space="preserve">    </w:t>
      </w:r>
      <w:r>
        <w:rPr>
          <w:rFonts w:ascii="黑体" w:eastAsia="黑体" w:hAnsi="黑体" w:cs="黑体" w:hint="eastAsia"/>
          <w:sz w:val="32"/>
          <w:szCs w:val="32"/>
        </w:rPr>
        <w:t>五、一般公共预算财政拨款支出决算情况说明</w:t>
      </w:r>
    </w:p>
    <w:p w:rsidR="000D6120" w:rsidRDefault="00245270" w:rsidP="009A00B1">
      <w:pPr>
        <w:widowControl w:val="0"/>
        <w:autoSpaceDE w:val="0"/>
        <w:autoSpaceDN w:val="0"/>
        <w:adjustRightInd w:val="0"/>
        <w:snapToGrid w:val="0"/>
        <w:spacing w:line="560" w:lineRule="exact"/>
        <w:rPr>
          <w:rFonts w:ascii="楷体" w:eastAsia="楷体" w:hAnsi="楷体" w:cs="楷体_GB2312"/>
          <w:b/>
          <w:sz w:val="32"/>
          <w:szCs w:val="32"/>
        </w:rPr>
      </w:pPr>
      <w:r>
        <w:rPr>
          <w:rFonts w:ascii="楷体" w:eastAsia="楷体" w:hAnsi="楷体" w:cs="楷体_GB2312" w:hint="eastAsia"/>
          <w:b/>
          <w:sz w:val="32"/>
          <w:szCs w:val="32"/>
        </w:rPr>
        <w:t xml:space="preserve">   （一）财政拨款支出决算总体情况。</w:t>
      </w:r>
    </w:p>
    <w:p w:rsidR="000D6120" w:rsidRDefault="00245270" w:rsidP="009A00B1">
      <w:pPr>
        <w:adjustRightInd w:val="0"/>
        <w:snapToGrid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财政拨款支出</w:t>
      </w:r>
      <w:r w:rsidR="00A22E50">
        <w:rPr>
          <w:rFonts w:ascii="仿宋" w:eastAsia="仿宋" w:hAnsi="仿宋" w:cs="Arial" w:hint="eastAsia"/>
          <w:color w:val="000000"/>
          <w:sz w:val="32"/>
          <w:szCs w:val="32"/>
        </w:rPr>
        <w:t>630.18</w:t>
      </w:r>
      <w:r>
        <w:rPr>
          <w:rFonts w:ascii="仿宋" w:eastAsia="仿宋" w:hAnsi="仿宋" w:cs="Arial" w:hint="eastAsia"/>
          <w:color w:val="000000"/>
          <w:sz w:val="32"/>
          <w:szCs w:val="32"/>
        </w:rPr>
        <w:t>万元。</w:t>
      </w:r>
      <w:r>
        <w:rPr>
          <w:rFonts w:ascii="仿宋" w:eastAsia="仿宋" w:hAnsi="仿宋" w:hint="eastAsia"/>
          <w:sz w:val="32"/>
          <w:szCs w:val="32"/>
        </w:rPr>
        <w:t>按支出性质分，其中基本支出</w:t>
      </w:r>
      <w:r w:rsidR="00A22E50">
        <w:rPr>
          <w:rFonts w:ascii="仿宋" w:eastAsia="仿宋" w:hAnsi="仿宋" w:hint="eastAsia"/>
          <w:sz w:val="32"/>
          <w:szCs w:val="32"/>
        </w:rPr>
        <w:t>409.69</w:t>
      </w:r>
      <w:r>
        <w:rPr>
          <w:rFonts w:ascii="仿宋" w:eastAsia="仿宋" w:hAnsi="仿宋" w:hint="eastAsia"/>
          <w:sz w:val="32"/>
          <w:szCs w:val="32"/>
        </w:rPr>
        <w:t>万元，占</w:t>
      </w:r>
      <w:r w:rsidR="00A22E50">
        <w:rPr>
          <w:rFonts w:ascii="仿宋" w:eastAsia="仿宋" w:hAnsi="仿宋" w:hint="eastAsia"/>
          <w:sz w:val="32"/>
          <w:szCs w:val="32"/>
        </w:rPr>
        <w:t>65.01</w:t>
      </w:r>
      <w:r>
        <w:rPr>
          <w:rFonts w:ascii="仿宋" w:eastAsia="仿宋" w:hAnsi="仿宋" w:hint="eastAsia"/>
          <w:sz w:val="32"/>
          <w:szCs w:val="32"/>
        </w:rPr>
        <w:t>%；项目支出</w:t>
      </w:r>
      <w:r w:rsidR="00A22E50">
        <w:rPr>
          <w:rFonts w:ascii="仿宋" w:eastAsia="仿宋" w:hAnsi="仿宋" w:hint="eastAsia"/>
          <w:sz w:val="32"/>
          <w:szCs w:val="32"/>
        </w:rPr>
        <w:t>220.49</w:t>
      </w:r>
      <w:r>
        <w:rPr>
          <w:rFonts w:ascii="仿宋" w:eastAsia="仿宋" w:hAnsi="仿宋" w:hint="eastAsia"/>
          <w:sz w:val="32"/>
          <w:szCs w:val="32"/>
        </w:rPr>
        <w:t>万元，占</w:t>
      </w:r>
      <w:r w:rsidR="00A22E50">
        <w:rPr>
          <w:rFonts w:ascii="仿宋" w:eastAsia="仿宋" w:hAnsi="仿宋" w:hint="eastAsia"/>
          <w:sz w:val="32"/>
          <w:szCs w:val="32"/>
        </w:rPr>
        <w:t>34.99</w:t>
      </w:r>
      <w:r>
        <w:rPr>
          <w:rFonts w:ascii="仿宋" w:eastAsia="仿宋" w:hAnsi="仿宋" w:hint="eastAsia"/>
          <w:sz w:val="32"/>
          <w:szCs w:val="32"/>
        </w:rPr>
        <w:t>%。按支出经济分类分，其中工资福利支出</w:t>
      </w:r>
      <w:r w:rsidR="002E250E">
        <w:rPr>
          <w:rFonts w:ascii="仿宋" w:eastAsia="仿宋" w:hAnsi="仿宋" w:hint="eastAsia"/>
          <w:sz w:val="32"/>
          <w:szCs w:val="32"/>
        </w:rPr>
        <w:t>317.63</w:t>
      </w:r>
      <w:r>
        <w:rPr>
          <w:rFonts w:ascii="仿宋" w:eastAsia="仿宋" w:hAnsi="仿宋" w:hint="eastAsia"/>
          <w:sz w:val="32"/>
          <w:szCs w:val="32"/>
        </w:rPr>
        <w:t>万元，占</w:t>
      </w:r>
      <w:r w:rsidR="002E250E">
        <w:rPr>
          <w:rFonts w:ascii="仿宋" w:eastAsia="仿宋" w:hAnsi="仿宋" w:hint="eastAsia"/>
          <w:sz w:val="32"/>
          <w:szCs w:val="32"/>
        </w:rPr>
        <w:t>50.40</w:t>
      </w:r>
      <w:r>
        <w:rPr>
          <w:rFonts w:ascii="仿宋" w:eastAsia="仿宋" w:hAnsi="仿宋" w:hint="eastAsia"/>
          <w:sz w:val="32"/>
          <w:szCs w:val="32"/>
        </w:rPr>
        <w:t>%；商品和服务支出</w:t>
      </w:r>
      <w:r w:rsidR="002E250E">
        <w:rPr>
          <w:rFonts w:ascii="仿宋" w:eastAsia="仿宋" w:hAnsi="仿宋" w:hint="eastAsia"/>
          <w:sz w:val="32"/>
          <w:szCs w:val="32"/>
        </w:rPr>
        <w:t>312.08</w:t>
      </w:r>
      <w:r>
        <w:rPr>
          <w:rFonts w:ascii="仿宋" w:eastAsia="仿宋" w:hAnsi="仿宋" w:hint="eastAsia"/>
          <w:sz w:val="32"/>
          <w:szCs w:val="32"/>
        </w:rPr>
        <w:t>万元，占</w:t>
      </w:r>
      <w:r w:rsidR="002E250E">
        <w:rPr>
          <w:rFonts w:ascii="仿宋" w:eastAsia="仿宋" w:hAnsi="仿宋" w:hint="eastAsia"/>
          <w:sz w:val="32"/>
          <w:szCs w:val="32"/>
        </w:rPr>
        <w:t>49.52</w:t>
      </w:r>
      <w:r>
        <w:rPr>
          <w:rFonts w:ascii="仿宋" w:eastAsia="仿宋" w:hAnsi="仿宋" w:hint="eastAsia"/>
          <w:sz w:val="32"/>
          <w:szCs w:val="32"/>
        </w:rPr>
        <w:t>%；资本性支出</w:t>
      </w:r>
      <w:r w:rsidR="002E250E">
        <w:rPr>
          <w:rFonts w:ascii="仿宋" w:eastAsia="仿宋" w:hAnsi="仿宋" w:hint="eastAsia"/>
          <w:sz w:val="32"/>
          <w:szCs w:val="32"/>
        </w:rPr>
        <w:t>0.47</w:t>
      </w:r>
      <w:r>
        <w:rPr>
          <w:rFonts w:ascii="仿宋" w:eastAsia="仿宋" w:hAnsi="仿宋" w:hint="eastAsia"/>
          <w:sz w:val="32"/>
          <w:szCs w:val="32"/>
        </w:rPr>
        <w:t>万元，占0.</w:t>
      </w:r>
      <w:r w:rsidR="002E250E">
        <w:rPr>
          <w:rFonts w:ascii="仿宋" w:eastAsia="仿宋" w:hAnsi="仿宋" w:hint="eastAsia"/>
          <w:sz w:val="32"/>
          <w:szCs w:val="32"/>
        </w:rPr>
        <w:t>07</w:t>
      </w:r>
      <w:r>
        <w:rPr>
          <w:rFonts w:ascii="仿宋" w:eastAsia="仿宋" w:hAnsi="仿宋" w:hint="eastAsia"/>
          <w:sz w:val="32"/>
          <w:szCs w:val="32"/>
        </w:rPr>
        <w:t>%。</w:t>
      </w:r>
    </w:p>
    <w:p w:rsidR="000D6120" w:rsidRDefault="004B0795">
      <w:pPr>
        <w:adjustRightInd w:val="0"/>
        <w:snapToGrid w:val="0"/>
        <w:spacing w:after="100" w:afterAutospacing="1" w:line="560" w:lineRule="exact"/>
        <w:ind w:firstLineChars="200" w:firstLine="560"/>
        <w:jc w:val="center"/>
        <w:rPr>
          <w:rFonts w:ascii="仿宋" w:eastAsia="仿宋" w:hAnsi="仿宋" w:cs="仿宋_GB2312"/>
          <w:sz w:val="28"/>
          <w:szCs w:val="28"/>
        </w:rPr>
      </w:pPr>
      <w:r>
        <w:rPr>
          <w:rFonts w:ascii="仿宋" w:eastAsia="仿宋" w:hAnsi="仿宋" w:cs="仿宋_GB2312"/>
          <w:sz w:val="28"/>
          <w:szCs w:val="28"/>
        </w:rPr>
        <w:pict>
          <v:shapetype id="_x0000_t202" coordsize="21600,21600" o:spt="202" path="m,l,21600r21600,l21600,xe">
            <v:stroke joinstyle="miter"/>
            <v:path gradientshapeok="t" o:connecttype="rect"/>
          </v:shapetype>
          <v:shape id="_x0000_s1027" type="#_x0000_t202" style="position:absolute;left:0;text-align:left;margin-left:-8.15pt;margin-top:29.8pt;width:208.05pt;height:130.6pt;z-index:251664384;mso-width-relative:margin;mso-height-relative:margin" filled="f" stroked="f">
            <v:textbox>
              <w:txbxContent>
                <w:p w:rsidR="00A22E50" w:rsidRDefault="00A22E50">
                  <w:r>
                    <w:rPr>
                      <w:rFonts w:ascii="仿宋" w:eastAsia="仿宋" w:hAnsi="仿宋" w:cs="仿宋_GB2312"/>
                      <w:noProof/>
                      <w:sz w:val="28"/>
                      <w:szCs w:val="28"/>
                    </w:rPr>
                    <w:drawing>
                      <wp:inline distT="0" distB="0" distL="0" distR="0">
                        <wp:extent cx="2571750" cy="1581150"/>
                        <wp:effectExtent l="0" t="0" r="0" b="0"/>
                        <wp:docPr id="77"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r>
        <w:rPr>
          <w:rFonts w:ascii="仿宋" w:eastAsia="仿宋" w:hAnsi="仿宋" w:cs="仿宋_GB2312"/>
          <w:sz w:val="28"/>
          <w:szCs w:val="28"/>
        </w:rPr>
        <w:pict>
          <v:shape id="_x0000_s1028" type="#_x0000_t202" style="position:absolute;left:0;text-align:left;margin-left:199.9pt;margin-top:29.8pt;width:281.25pt;height:130.6pt;z-index:251665408;mso-width-relative:margin;mso-height-relative:margin" filled="f" stroked="f">
            <v:textbox>
              <w:txbxContent>
                <w:p w:rsidR="00A22E50" w:rsidRDefault="00A22E50">
                  <w:r>
                    <w:rPr>
                      <w:rFonts w:ascii="仿宋" w:eastAsia="仿宋" w:hAnsi="仿宋" w:cs="仿宋_GB2312"/>
                      <w:noProof/>
                      <w:sz w:val="28"/>
                      <w:szCs w:val="28"/>
                    </w:rPr>
                    <w:drawing>
                      <wp:inline distT="0" distB="0" distL="0" distR="0">
                        <wp:extent cx="3543300" cy="1543050"/>
                        <wp:effectExtent l="0" t="0" r="0" b="0"/>
                        <wp:docPr id="78"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r w:rsidR="00245270">
        <w:rPr>
          <w:rFonts w:ascii="仿宋" w:eastAsia="仿宋" w:hAnsi="仿宋" w:cs="仿宋_GB2312" w:hint="eastAsia"/>
          <w:sz w:val="28"/>
          <w:szCs w:val="28"/>
        </w:rPr>
        <w:t>图</w:t>
      </w:r>
      <w:r w:rsidR="00245270">
        <w:rPr>
          <w:rFonts w:ascii="仿宋" w:eastAsia="仿宋" w:hAnsi="仿宋" w:cs="仿宋_GB2312"/>
          <w:sz w:val="28"/>
          <w:szCs w:val="28"/>
        </w:rPr>
        <w:t>5</w:t>
      </w:r>
      <w:r w:rsidR="00245270">
        <w:rPr>
          <w:rFonts w:ascii="仿宋" w:eastAsia="仿宋" w:hAnsi="仿宋" w:cs="仿宋_GB2312" w:hint="eastAsia"/>
          <w:sz w:val="28"/>
          <w:szCs w:val="28"/>
        </w:rPr>
        <w:t>：财政拨款支出决算</w:t>
      </w:r>
    </w:p>
    <w:p w:rsidR="000D6120" w:rsidRDefault="000D6120">
      <w:pPr>
        <w:adjustRightInd w:val="0"/>
        <w:snapToGrid w:val="0"/>
        <w:spacing w:line="560" w:lineRule="exact"/>
        <w:ind w:firstLineChars="200" w:firstLine="560"/>
        <w:jc w:val="center"/>
        <w:rPr>
          <w:rFonts w:ascii="仿宋" w:eastAsia="仿宋" w:hAnsi="仿宋" w:cs="仿宋_GB2312"/>
          <w:sz w:val="28"/>
          <w:szCs w:val="28"/>
        </w:rPr>
      </w:pPr>
    </w:p>
    <w:p w:rsidR="000D6120" w:rsidRDefault="000D6120">
      <w:pPr>
        <w:adjustRightInd w:val="0"/>
        <w:snapToGrid w:val="0"/>
        <w:spacing w:line="560" w:lineRule="exact"/>
        <w:ind w:firstLineChars="200" w:firstLine="560"/>
        <w:jc w:val="center"/>
        <w:rPr>
          <w:rFonts w:ascii="仿宋" w:eastAsia="仿宋" w:hAnsi="仿宋" w:cs="仿宋_GB2312"/>
          <w:sz w:val="28"/>
          <w:szCs w:val="28"/>
        </w:rPr>
      </w:pPr>
    </w:p>
    <w:p w:rsidR="000D6120" w:rsidRDefault="000D6120">
      <w:pPr>
        <w:adjustRightInd w:val="0"/>
        <w:snapToGrid w:val="0"/>
        <w:spacing w:line="560" w:lineRule="exact"/>
        <w:ind w:firstLineChars="200" w:firstLine="560"/>
        <w:jc w:val="center"/>
        <w:rPr>
          <w:rFonts w:ascii="仿宋" w:eastAsia="仿宋" w:hAnsi="仿宋" w:cs="仿宋_GB2312"/>
          <w:sz w:val="28"/>
          <w:szCs w:val="28"/>
        </w:rPr>
      </w:pPr>
    </w:p>
    <w:p w:rsidR="000D6120" w:rsidRDefault="000D6120">
      <w:pPr>
        <w:spacing w:before="100" w:beforeAutospacing="1" w:line="560" w:lineRule="exact"/>
        <w:ind w:firstLineChars="200" w:firstLine="643"/>
        <w:contextualSpacing/>
        <w:jc w:val="both"/>
        <w:rPr>
          <w:rFonts w:ascii="楷体" w:eastAsia="楷体" w:hAnsi="楷体" w:cs="楷体_GB2312"/>
          <w:b/>
          <w:sz w:val="32"/>
          <w:szCs w:val="32"/>
        </w:rPr>
      </w:pPr>
    </w:p>
    <w:p w:rsidR="000D6120" w:rsidRDefault="00245270" w:rsidP="009A00B1">
      <w:pPr>
        <w:spacing w:before="100" w:beforeAutospacing="1" w:line="560" w:lineRule="exact"/>
        <w:ind w:firstLineChars="200" w:firstLine="643"/>
        <w:contextualSpacing/>
        <w:jc w:val="both"/>
        <w:rPr>
          <w:rFonts w:ascii="楷体" w:eastAsia="楷体" w:hAnsi="楷体" w:cs="楷体_GB2312"/>
          <w:b/>
          <w:sz w:val="32"/>
          <w:szCs w:val="32"/>
        </w:rPr>
      </w:pPr>
      <w:r>
        <w:rPr>
          <w:rFonts w:ascii="楷体" w:eastAsia="楷体" w:hAnsi="楷体" w:cs="楷体_GB2312" w:hint="eastAsia"/>
          <w:b/>
          <w:sz w:val="32"/>
          <w:szCs w:val="32"/>
        </w:rPr>
        <w:t>（二）财政拨款支出决算结构情况。</w:t>
      </w:r>
    </w:p>
    <w:p w:rsidR="000D6120" w:rsidRDefault="002E250E" w:rsidP="009A00B1">
      <w:pPr>
        <w:adjustRightInd w:val="0"/>
        <w:snapToGrid w:val="0"/>
        <w:spacing w:line="560" w:lineRule="exact"/>
        <w:jc w:val="both"/>
        <w:rPr>
          <w:rFonts w:ascii="仿宋" w:eastAsia="仿宋" w:hAnsi="仿宋" w:cs="仿宋_GB2312"/>
          <w:sz w:val="28"/>
          <w:szCs w:val="28"/>
        </w:rPr>
      </w:pPr>
      <w:r>
        <w:rPr>
          <w:rFonts w:ascii="仿宋" w:eastAsia="仿宋" w:hAnsi="仿宋" w:cs="仿宋_GB2312" w:hint="eastAsia"/>
          <w:sz w:val="32"/>
          <w:szCs w:val="32"/>
        </w:rPr>
        <w:t xml:space="preserve">    </w:t>
      </w:r>
      <w:r w:rsidR="00EB7118">
        <w:rPr>
          <w:rFonts w:ascii="仿宋" w:eastAsia="仿宋" w:hAnsi="仿宋" w:cs="仿宋_GB2312" w:hint="eastAsia"/>
          <w:sz w:val="32"/>
          <w:szCs w:val="32"/>
        </w:rPr>
        <w:t>2021</w:t>
      </w:r>
      <w:r w:rsidR="00245270">
        <w:rPr>
          <w:rFonts w:ascii="仿宋" w:eastAsia="仿宋" w:hAnsi="仿宋" w:cs="仿宋_GB2312" w:hint="eastAsia"/>
          <w:sz w:val="32"/>
          <w:szCs w:val="32"/>
        </w:rPr>
        <w:t>年度财政拨款支出</w:t>
      </w:r>
      <w:r>
        <w:rPr>
          <w:rFonts w:ascii="仿宋" w:eastAsia="仿宋" w:hAnsi="仿宋" w:cs="Arial" w:hint="eastAsia"/>
          <w:color w:val="000000"/>
          <w:sz w:val="32"/>
          <w:szCs w:val="32"/>
        </w:rPr>
        <w:t>630.18</w:t>
      </w:r>
      <w:r w:rsidR="00245270">
        <w:rPr>
          <w:rFonts w:ascii="仿宋" w:eastAsia="仿宋" w:hAnsi="仿宋" w:cs="仿宋_GB2312" w:hint="eastAsia"/>
          <w:sz w:val="32"/>
          <w:szCs w:val="32"/>
        </w:rPr>
        <w:t>万元，主要用于以下方面：节能环保（类）支出</w:t>
      </w:r>
      <w:r>
        <w:rPr>
          <w:rFonts w:ascii="仿宋" w:eastAsia="仿宋" w:hAnsi="仿宋" w:cs="Arial" w:hint="eastAsia"/>
          <w:color w:val="000000"/>
          <w:sz w:val="32"/>
          <w:szCs w:val="32"/>
        </w:rPr>
        <w:t>520.32</w:t>
      </w:r>
      <w:r w:rsidR="00245270">
        <w:rPr>
          <w:rFonts w:ascii="仿宋" w:eastAsia="仿宋" w:hAnsi="仿宋" w:cs="仿宋_GB2312" w:hint="eastAsia"/>
          <w:sz w:val="32"/>
          <w:szCs w:val="32"/>
        </w:rPr>
        <w:t>万元，占</w:t>
      </w:r>
      <w:r>
        <w:rPr>
          <w:rFonts w:ascii="仿宋" w:eastAsia="仿宋" w:hAnsi="仿宋" w:cs="仿宋_GB2312" w:hint="eastAsia"/>
          <w:sz w:val="32"/>
          <w:szCs w:val="32"/>
        </w:rPr>
        <w:t>82.57</w:t>
      </w:r>
      <w:r w:rsidR="00245270">
        <w:rPr>
          <w:rFonts w:ascii="仿宋" w:eastAsia="仿宋" w:hAnsi="仿宋" w:cs="仿宋_GB2312" w:hint="eastAsia"/>
          <w:sz w:val="32"/>
          <w:szCs w:val="32"/>
        </w:rPr>
        <w:t>%；社会保障和就业（类）支出</w:t>
      </w:r>
      <w:r>
        <w:rPr>
          <w:rFonts w:ascii="仿宋" w:eastAsia="仿宋" w:hAnsi="仿宋" w:cs="Arial" w:hint="eastAsia"/>
          <w:color w:val="000000"/>
          <w:sz w:val="32"/>
          <w:szCs w:val="32"/>
        </w:rPr>
        <w:t>45.03</w:t>
      </w:r>
      <w:r w:rsidR="00245270">
        <w:rPr>
          <w:rFonts w:ascii="仿宋" w:eastAsia="仿宋" w:hAnsi="仿宋" w:cs="仿宋_GB2312" w:hint="eastAsia"/>
          <w:sz w:val="32"/>
          <w:szCs w:val="32"/>
        </w:rPr>
        <w:t>万元，占</w:t>
      </w:r>
      <w:r>
        <w:rPr>
          <w:rFonts w:ascii="仿宋" w:eastAsia="仿宋" w:hAnsi="仿宋" w:cs="仿宋_GB2312" w:hint="eastAsia"/>
          <w:sz w:val="32"/>
          <w:szCs w:val="32"/>
        </w:rPr>
        <w:t>7.15</w:t>
      </w:r>
      <w:r w:rsidR="00245270">
        <w:rPr>
          <w:rFonts w:ascii="仿宋" w:eastAsia="仿宋" w:hAnsi="仿宋" w:cs="仿宋_GB2312" w:hint="eastAsia"/>
          <w:sz w:val="32"/>
          <w:szCs w:val="32"/>
        </w:rPr>
        <w:t>%；卫生健康支出</w:t>
      </w:r>
      <w:r>
        <w:rPr>
          <w:rFonts w:ascii="仿宋" w:eastAsia="仿宋" w:hAnsi="仿宋" w:cs="仿宋_GB2312" w:hint="eastAsia"/>
          <w:sz w:val="32"/>
          <w:szCs w:val="32"/>
        </w:rPr>
        <w:t>34.58</w:t>
      </w:r>
      <w:r w:rsidR="00245270">
        <w:rPr>
          <w:rFonts w:ascii="仿宋" w:eastAsia="仿宋" w:hAnsi="仿宋" w:cs="仿宋_GB2312" w:hint="eastAsia"/>
          <w:sz w:val="32"/>
          <w:szCs w:val="32"/>
        </w:rPr>
        <w:t>万元，占</w:t>
      </w:r>
      <w:r>
        <w:rPr>
          <w:rFonts w:ascii="仿宋" w:eastAsia="仿宋" w:hAnsi="仿宋" w:cs="仿宋_GB2312" w:hint="eastAsia"/>
          <w:sz w:val="32"/>
          <w:szCs w:val="32"/>
        </w:rPr>
        <w:t>5.49</w:t>
      </w:r>
      <w:r w:rsidR="00245270">
        <w:rPr>
          <w:rFonts w:ascii="仿宋" w:eastAsia="仿宋" w:hAnsi="仿宋" w:cs="仿宋_GB2312" w:hint="eastAsia"/>
          <w:sz w:val="32"/>
          <w:szCs w:val="32"/>
        </w:rPr>
        <w:t>%；住房保障（类）支出</w:t>
      </w:r>
      <w:r>
        <w:rPr>
          <w:rFonts w:ascii="仿宋" w:eastAsia="仿宋" w:hAnsi="仿宋" w:cs="Arial" w:hint="eastAsia"/>
          <w:color w:val="000000"/>
          <w:sz w:val="32"/>
          <w:szCs w:val="32"/>
        </w:rPr>
        <w:t>30.26</w:t>
      </w:r>
      <w:r w:rsidR="00245270">
        <w:rPr>
          <w:rFonts w:ascii="仿宋" w:eastAsia="仿宋" w:hAnsi="仿宋" w:cs="仿宋_GB2312" w:hint="eastAsia"/>
          <w:sz w:val="32"/>
          <w:szCs w:val="32"/>
        </w:rPr>
        <w:t>万元，占</w:t>
      </w:r>
      <w:r>
        <w:rPr>
          <w:rFonts w:ascii="仿宋" w:eastAsia="仿宋" w:hAnsi="仿宋" w:cs="仿宋_GB2312" w:hint="eastAsia"/>
          <w:sz w:val="32"/>
          <w:szCs w:val="32"/>
        </w:rPr>
        <w:t>4.80</w:t>
      </w:r>
      <w:r w:rsidR="00245270">
        <w:rPr>
          <w:rFonts w:ascii="仿宋" w:eastAsia="仿宋" w:hAnsi="仿宋" w:cs="仿宋_GB2312" w:hint="eastAsia"/>
          <w:sz w:val="32"/>
          <w:szCs w:val="32"/>
        </w:rPr>
        <w:t>%。</w:t>
      </w:r>
    </w:p>
    <w:p w:rsidR="000D6120" w:rsidRDefault="00245270">
      <w:pPr>
        <w:widowControl w:val="0"/>
        <w:autoSpaceDE w:val="0"/>
        <w:autoSpaceDN w:val="0"/>
        <w:adjustRightInd w:val="0"/>
        <w:snapToGrid w:val="0"/>
        <w:spacing w:before="100" w:beforeAutospacing="1"/>
        <w:jc w:val="center"/>
        <w:rPr>
          <w:rFonts w:ascii="仿宋" w:eastAsia="仿宋" w:hAnsi="仿宋" w:cs="仿宋_GB2312"/>
          <w:sz w:val="28"/>
          <w:szCs w:val="28"/>
        </w:rPr>
      </w:pPr>
      <w:r>
        <w:rPr>
          <w:rFonts w:ascii="仿宋" w:eastAsia="仿宋" w:hAnsi="仿宋" w:cs="仿宋_GB2312" w:hint="eastAsia"/>
          <w:sz w:val="28"/>
          <w:szCs w:val="28"/>
        </w:rPr>
        <w:t>图6：财政拨款支出决算结构</w:t>
      </w:r>
    </w:p>
    <w:p w:rsidR="000D6120" w:rsidRDefault="00245270">
      <w:pPr>
        <w:widowControl w:val="0"/>
        <w:autoSpaceDE w:val="0"/>
        <w:autoSpaceDN w:val="0"/>
        <w:adjustRightInd w:val="0"/>
        <w:rPr>
          <w:rFonts w:ascii="仿宋_GB2312" w:eastAsia="仿宋_GB2312" w:cs="仿宋_GB2312"/>
          <w:sz w:val="28"/>
          <w:szCs w:val="28"/>
        </w:rPr>
      </w:pPr>
      <w:r>
        <w:rPr>
          <w:rFonts w:ascii="仿宋_GB2312" w:eastAsia="仿宋_GB2312" w:cs="仿宋_GB2312"/>
          <w:noProof/>
          <w:sz w:val="28"/>
          <w:szCs w:val="28"/>
        </w:rPr>
        <w:drawing>
          <wp:inline distT="0" distB="0" distL="0" distR="0">
            <wp:extent cx="5276850" cy="1590675"/>
            <wp:effectExtent l="0" t="0" r="11430" b="9525"/>
            <wp:docPr id="79"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6120" w:rsidRDefault="00245270" w:rsidP="009A00B1">
      <w:pPr>
        <w:widowControl w:val="0"/>
        <w:autoSpaceDE w:val="0"/>
        <w:autoSpaceDN w:val="0"/>
        <w:adjustRightInd w:val="0"/>
        <w:snapToGrid w:val="0"/>
        <w:spacing w:line="560" w:lineRule="exact"/>
        <w:rPr>
          <w:rFonts w:ascii="黑体" w:eastAsia="黑体" w:cs="黑体"/>
          <w:sz w:val="32"/>
          <w:szCs w:val="32"/>
        </w:rPr>
      </w:pPr>
      <w:r>
        <w:rPr>
          <w:rFonts w:ascii="黑体" w:eastAsia="黑体" w:cs="黑体" w:hint="eastAsia"/>
          <w:sz w:val="32"/>
          <w:szCs w:val="32"/>
        </w:rPr>
        <w:t xml:space="preserve">    六、一般公共预算财政拨款基本支出决算情况说明</w:t>
      </w:r>
    </w:p>
    <w:p w:rsidR="000D6120" w:rsidRDefault="00EB7118" w:rsidP="009A00B1">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2021</w:t>
      </w:r>
      <w:r w:rsidR="00245270">
        <w:rPr>
          <w:rFonts w:ascii="仿宋" w:eastAsia="仿宋" w:hAnsi="仿宋" w:cs="仿宋_GB2312" w:hint="eastAsia"/>
          <w:sz w:val="32"/>
          <w:szCs w:val="32"/>
        </w:rPr>
        <w:t>年度财政拨款基本支出</w:t>
      </w:r>
      <w:r w:rsidR="00953A19">
        <w:rPr>
          <w:rFonts w:ascii="仿宋" w:eastAsia="仿宋" w:hAnsi="仿宋" w:cs="Arial" w:hint="eastAsia"/>
          <w:color w:val="000000"/>
          <w:sz w:val="32"/>
          <w:szCs w:val="32"/>
        </w:rPr>
        <w:t>409.69</w:t>
      </w:r>
      <w:r w:rsidR="00245270">
        <w:rPr>
          <w:rFonts w:ascii="仿宋" w:eastAsia="仿宋" w:hAnsi="仿宋" w:cs="仿宋_GB2312" w:hint="eastAsia"/>
          <w:sz w:val="32"/>
          <w:szCs w:val="32"/>
        </w:rPr>
        <w:t>万元。其中：人员经费</w:t>
      </w:r>
      <w:r w:rsidR="00245270">
        <w:rPr>
          <w:rFonts w:ascii="仿宋" w:eastAsia="仿宋" w:hAnsi="仿宋" w:cs="Arial" w:hint="eastAsia"/>
          <w:color w:val="000000"/>
          <w:sz w:val="32"/>
          <w:szCs w:val="32"/>
        </w:rPr>
        <w:t>3</w:t>
      </w:r>
      <w:r w:rsidR="00953A19">
        <w:rPr>
          <w:rFonts w:ascii="仿宋" w:eastAsia="仿宋" w:hAnsi="仿宋" w:cs="Arial" w:hint="eastAsia"/>
          <w:color w:val="000000"/>
          <w:sz w:val="32"/>
          <w:szCs w:val="32"/>
        </w:rPr>
        <w:t>17.63</w:t>
      </w:r>
      <w:r w:rsidR="00245270">
        <w:rPr>
          <w:rFonts w:ascii="仿宋" w:eastAsia="仿宋" w:hAnsi="仿宋" w:cs="仿宋_GB2312" w:hint="eastAsia"/>
          <w:sz w:val="32"/>
          <w:szCs w:val="32"/>
        </w:rPr>
        <w:t>万元，主要包括基本工资、津贴补贴、奖金、机关事业单</w:t>
      </w:r>
      <w:r w:rsidR="00245270">
        <w:rPr>
          <w:rFonts w:ascii="仿宋" w:eastAsia="仿宋" w:hAnsi="仿宋" w:cs="仿宋_GB2312" w:hint="eastAsia"/>
          <w:sz w:val="32"/>
          <w:szCs w:val="32"/>
        </w:rPr>
        <w:lastRenderedPageBreak/>
        <w:t>位基本养老保险缴费、职业年金缴费、职工基本医疗保险缴费、公务员医疗补助缴费和住房公积金；公用经费</w:t>
      </w:r>
      <w:r w:rsidR="00953A19">
        <w:rPr>
          <w:rFonts w:ascii="仿宋" w:eastAsia="仿宋" w:hAnsi="仿宋" w:cs="Arial" w:hint="eastAsia"/>
          <w:color w:val="000000"/>
          <w:sz w:val="32"/>
          <w:szCs w:val="32"/>
        </w:rPr>
        <w:t>92.06</w:t>
      </w:r>
      <w:r w:rsidR="00953A19">
        <w:rPr>
          <w:rFonts w:ascii="仿宋" w:eastAsia="仿宋" w:hAnsi="仿宋" w:cs="仿宋_GB2312" w:hint="eastAsia"/>
          <w:sz w:val="32"/>
          <w:szCs w:val="32"/>
        </w:rPr>
        <w:t>万元，主要包括办公费</w:t>
      </w:r>
      <w:r w:rsidR="00245270">
        <w:rPr>
          <w:rFonts w:ascii="仿宋" w:eastAsia="仿宋" w:hAnsi="仿宋" w:cs="仿宋_GB2312" w:hint="eastAsia"/>
          <w:sz w:val="32"/>
          <w:szCs w:val="32"/>
        </w:rPr>
        <w:t>、</w:t>
      </w:r>
      <w:r w:rsidR="00953A19">
        <w:rPr>
          <w:rFonts w:ascii="仿宋" w:eastAsia="仿宋" w:hAnsi="仿宋" w:cs="仿宋_GB2312" w:hint="eastAsia"/>
          <w:sz w:val="32"/>
          <w:szCs w:val="32"/>
        </w:rPr>
        <w:t>印刷</w:t>
      </w:r>
      <w:r w:rsidR="00245270">
        <w:rPr>
          <w:rFonts w:ascii="仿宋" w:eastAsia="仿宋" w:hAnsi="仿宋" w:cs="仿宋_GB2312" w:hint="eastAsia"/>
          <w:sz w:val="32"/>
          <w:szCs w:val="32"/>
        </w:rPr>
        <w:t>费、水费、电费、邮电费、取暖费、物业管理费、差旅费、劳务费、工会经费、福利费、公务用车运行维护费、其他交通费用、其他商品和服务支出</w:t>
      </w:r>
      <w:r w:rsidR="00953A19">
        <w:rPr>
          <w:rFonts w:ascii="仿宋" w:eastAsia="仿宋" w:hAnsi="仿宋" w:cs="仿宋_GB2312" w:hint="eastAsia"/>
          <w:sz w:val="32"/>
          <w:szCs w:val="32"/>
        </w:rPr>
        <w:t>和办公设备购置</w:t>
      </w:r>
      <w:r w:rsidR="00245270">
        <w:rPr>
          <w:rFonts w:ascii="仿宋" w:eastAsia="仿宋" w:hAnsi="仿宋" w:cs="仿宋_GB2312" w:hint="eastAsia"/>
          <w:sz w:val="32"/>
          <w:szCs w:val="32"/>
        </w:rPr>
        <w:t>。</w:t>
      </w:r>
    </w:p>
    <w:p w:rsidR="000D6120" w:rsidRDefault="00245270" w:rsidP="009A00B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七、财政拨款“三公”经费支出决算情况说明</w:t>
      </w:r>
    </w:p>
    <w:p w:rsidR="0024417C" w:rsidRPr="0024417C" w:rsidRDefault="0024417C" w:rsidP="009A00B1">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sidRPr="0024417C">
        <w:rPr>
          <w:rFonts w:ascii="仿宋" w:eastAsia="仿宋" w:hAnsi="仿宋" w:cs="仿宋_GB2312" w:hint="eastAsia"/>
          <w:sz w:val="32"/>
          <w:szCs w:val="32"/>
        </w:rPr>
        <w:t>2021年，“三公”经费财政拨款支出10.25万元，其中公务用车运行维护费支出 10.25万元，较年初预算数减少3.95万元，较上年决算数增加2.14万元，原因是2020年受疫情影响，公务用车维护费及燃油费等支出较少。本单位公务用车保有量为2辆。公务接待费支出0万元，较年初预算数减少 0.23万元，与上年决算数相等。原因是严格落实过紧日子要求，压减公务接待支出。2021年未发生因公出国（境）费用。</w:t>
      </w:r>
    </w:p>
    <w:p w:rsidR="000D6120" w:rsidRDefault="00245270" w:rsidP="009A00B1">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八、</w:t>
      </w:r>
      <w:r>
        <w:rPr>
          <w:rFonts w:ascii="黑体" w:eastAsia="黑体" w:hAnsi="黑体" w:hint="eastAsia"/>
          <w:sz w:val="32"/>
          <w:szCs w:val="32"/>
        </w:rPr>
        <w:t>机关运行经费支出说明</w:t>
      </w:r>
    </w:p>
    <w:p w:rsidR="000D6120" w:rsidRDefault="00EB7118" w:rsidP="009A00B1">
      <w:pPr>
        <w:widowControl w:val="0"/>
        <w:autoSpaceDE w:val="0"/>
        <w:autoSpaceDN w:val="0"/>
        <w:adjustRightInd w:val="0"/>
        <w:snapToGrid w:val="0"/>
        <w:spacing w:line="560" w:lineRule="exact"/>
        <w:ind w:firstLineChars="200" w:firstLine="640"/>
        <w:jc w:val="both"/>
        <w:rPr>
          <w:rFonts w:ascii="仿宋" w:eastAsia="仿宋" w:hAnsi="仿宋"/>
          <w:sz w:val="32"/>
          <w:szCs w:val="32"/>
        </w:rPr>
      </w:pPr>
      <w:r>
        <w:rPr>
          <w:rFonts w:ascii="仿宋" w:eastAsia="仿宋" w:hAnsi="仿宋" w:cs="仿宋_GB2312" w:hint="eastAsia"/>
          <w:sz w:val="32"/>
          <w:szCs w:val="32"/>
        </w:rPr>
        <w:t>2021</w:t>
      </w:r>
      <w:r w:rsidR="00245270">
        <w:rPr>
          <w:rFonts w:ascii="仿宋" w:eastAsia="仿宋" w:hAnsi="仿宋" w:cs="仿宋_GB2312" w:hint="eastAsia"/>
          <w:sz w:val="32"/>
          <w:szCs w:val="32"/>
        </w:rPr>
        <w:t>年度机关运行经费支出</w:t>
      </w:r>
      <w:r w:rsidR="00953A19">
        <w:rPr>
          <w:rFonts w:ascii="仿宋" w:eastAsia="仿宋" w:hAnsi="仿宋" w:cs="仿宋_GB2312" w:hint="eastAsia"/>
          <w:sz w:val="32"/>
          <w:szCs w:val="32"/>
        </w:rPr>
        <w:t>92.06</w:t>
      </w:r>
      <w:r w:rsidR="00245270">
        <w:rPr>
          <w:rFonts w:ascii="仿宋" w:eastAsia="仿宋" w:hAnsi="仿宋" w:cs="仿宋_GB2312" w:hint="eastAsia"/>
          <w:sz w:val="32"/>
          <w:szCs w:val="32"/>
        </w:rPr>
        <w:t>万元，比</w:t>
      </w:r>
      <w:r w:rsidR="00953A19">
        <w:rPr>
          <w:rFonts w:ascii="仿宋" w:eastAsia="仿宋" w:hAnsi="仿宋" w:cs="仿宋_GB2312" w:hint="eastAsia"/>
          <w:sz w:val="32"/>
          <w:szCs w:val="32"/>
        </w:rPr>
        <w:t>2020</w:t>
      </w:r>
      <w:r w:rsidR="00245270">
        <w:rPr>
          <w:rFonts w:ascii="仿宋" w:eastAsia="仿宋" w:hAnsi="仿宋" w:cs="仿宋_GB2312" w:hint="eastAsia"/>
          <w:sz w:val="32"/>
          <w:szCs w:val="32"/>
        </w:rPr>
        <w:t>年度</w:t>
      </w:r>
      <w:r w:rsidR="00953A19">
        <w:rPr>
          <w:rFonts w:ascii="仿宋" w:eastAsia="仿宋" w:hAnsi="仿宋" w:cs="仿宋_GB2312" w:hint="eastAsia"/>
          <w:sz w:val="32"/>
          <w:szCs w:val="32"/>
        </w:rPr>
        <w:t>增加9.15</w:t>
      </w:r>
      <w:r w:rsidR="00245270">
        <w:rPr>
          <w:rFonts w:ascii="仿宋" w:eastAsia="仿宋" w:hAnsi="仿宋" w:cs="仿宋_GB2312" w:hint="eastAsia"/>
          <w:sz w:val="32"/>
          <w:szCs w:val="32"/>
        </w:rPr>
        <w:t>万元，</w:t>
      </w:r>
      <w:r w:rsidR="00953A19">
        <w:rPr>
          <w:rFonts w:ascii="仿宋" w:eastAsia="仿宋" w:hAnsi="仿宋" w:cs="仿宋_GB2312" w:hint="eastAsia"/>
          <w:sz w:val="32"/>
          <w:szCs w:val="32"/>
        </w:rPr>
        <w:t>增长9.94</w:t>
      </w:r>
      <w:r w:rsidR="00245270">
        <w:rPr>
          <w:rFonts w:ascii="仿宋" w:eastAsia="仿宋" w:hAnsi="仿宋" w:cs="仿宋_GB2312" w:hint="eastAsia"/>
          <w:sz w:val="32"/>
          <w:szCs w:val="32"/>
        </w:rPr>
        <w:t>%</w:t>
      </w:r>
      <w:r w:rsidR="00245270">
        <w:rPr>
          <w:rFonts w:ascii="仿宋" w:eastAsia="仿宋" w:hAnsi="仿宋" w:hint="eastAsia"/>
          <w:sz w:val="32"/>
          <w:szCs w:val="32"/>
        </w:rPr>
        <w:t>。</w:t>
      </w:r>
    </w:p>
    <w:p w:rsidR="000D6120" w:rsidRDefault="00245270" w:rsidP="009A00B1">
      <w:pPr>
        <w:widowControl w:val="0"/>
        <w:autoSpaceDE w:val="0"/>
        <w:autoSpaceDN w:val="0"/>
        <w:adjustRightInd w:val="0"/>
        <w:snapToGrid w:val="0"/>
        <w:spacing w:line="560" w:lineRule="exact"/>
        <w:ind w:firstLineChars="200" w:firstLine="640"/>
        <w:jc w:val="both"/>
        <w:rPr>
          <w:rFonts w:ascii="黑体" w:eastAsia="黑体" w:hAnsi="黑体"/>
          <w:sz w:val="32"/>
          <w:szCs w:val="32"/>
        </w:rPr>
      </w:pPr>
      <w:r>
        <w:rPr>
          <w:rFonts w:ascii="黑体" w:eastAsia="黑体" w:hAnsi="黑体" w:hint="eastAsia"/>
          <w:sz w:val="32"/>
          <w:szCs w:val="32"/>
        </w:rPr>
        <w:t>九、政府采购支出说明</w:t>
      </w:r>
    </w:p>
    <w:p w:rsidR="000D6120" w:rsidRDefault="00EB7118" w:rsidP="009A00B1">
      <w:pPr>
        <w:snapToGrid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2021</w:t>
      </w:r>
      <w:r w:rsidR="00245270">
        <w:rPr>
          <w:rFonts w:ascii="仿宋" w:eastAsia="仿宋" w:hAnsi="仿宋" w:cs="仿宋" w:hint="eastAsia"/>
          <w:sz w:val="32"/>
          <w:szCs w:val="32"/>
        </w:rPr>
        <w:t>年</w:t>
      </w:r>
      <w:r w:rsidR="00245270">
        <w:rPr>
          <w:rFonts w:ascii="仿宋" w:eastAsia="仿宋" w:hAnsi="仿宋" w:hint="eastAsia"/>
          <w:sz w:val="32"/>
          <w:szCs w:val="32"/>
        </w:rPr>
        <w:t>我局机关本级</w:t>
      </w:r>
      <w:r w:rsidR="00245270">
        <w:rPr>
          <w:rFonts w:ascii="仿宋" w:eastAsia="仿宋" w:hAnsi="仿宋" w:cs="仿宋" w:hint="eastAsia"/>
          <w:sz w:val="32"/>
          <w:szCs w:val="32"/>
        </w:rPr>
        <w:t>政府采购支出</w:t>
      </w:r>
      <w:r w:rsidR="009A00B1">
        <w:rPr>
          <w:rFonts w:ascii="仿宋" w:eastAsia="仿宋" w:hAnsi="仿宋" w:cs="仿宋" w:hint="eastAsia"/>
          <w:sz w:val="32"/>
          <w:szCs w:val="32"/>
        </w:rPr>
        <w:t>90</w:t>
      </w:r>
      <w:r w:rsidR="00245270">
        <w:rPr>
          <w:rFonts w:ascii="仿宋" w:eastAsia="仿宋" w:hAnsi="仿宋" w:cs="仿宋" w:hint="eastAsia"/>
          <w:sz w:val="32"/>
          <w:szCs w:val="32"/>
        </w:rPr>
        <w:t>万元，全部为服务类支出。</w:t>
      </w:r>
    </w:p>
    <w:p w:rsidR="000D6120" w:rsidRDefault="00245270" w:rsidP="009A00B1">
      <w:pPr>
        <w:widowControl w:val="0"/>
        <w:autoSpaceDE w:val="0"/>
        <w:autoSpaceDN w:val="0"/>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十、国有资产占用情况说明</w:t>
      </w:r>
    </w:p>
    <w:p w:rsidR="000D6120" w:rsidRDefault="00245270" w:rsidP="009A00B1">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hint="eastAsia"/>
          <w:sz w:val="32"/>
          <w:szCs w:val="32"/>
        </w:rPr>
        <w:t>截至</w:t>
      </w:r>
      <w:r w:rsidR="00EB7118">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日，我办共有车辆2辆（台），其中：机要通信用车1辆、应急保障用车</w:t>
      </w:r>
      <w:r>
        <w:rPr>
          <w:rFonts w:ascii="仿宋" w:eastAsia="仿宋" w:hAnsi="仿宋"/>
          <w:sz w:val="32"/>
          <w:szCs w:val="32"/>
        </w:rPr>
        <w:t>1</w:t>
      </w:r>
      <w:r>
        <w:rPr>
          <w:rFonts w:ascii="仿宋" w:eastAsia="仿宋" w:hAnsi="仿宋" w:hint="eastAsia"/>
          <w:sz w:val="32"/>
          <w:szCs w:val="32"/>
        </w:rPr>
        <w:t>辆，主要用于机要通信和应急保障。</w:t>
      </w:r>
    </w:p>
    <w:p w:rsidR="000D6120" w:rsidRDefault="00245270" w:rsidP="009A00B1">
      <w:pPr>
        <w:spacing w:line="560" w:lineRule="exact"/>
        <w:ind w:firstLineChars="200" w:firstLine="640"/>
        <w:rPr>
          <w:rFonts w:ascii="黑体" w:eastAsia="黑体" w:cs="黑体"/>
          <w:sz w:val="32"/>
          <w:szCs w:val="32"/>
        </w:rPr>
      </w:pPr>
      <w:r>
        <w:rPr>
          <w:rFonts w:ascii="黑体" w:eastAsia="黑体" w:cs="黑体" w:hint="eastAsia"/>
          <w:sz w:val="32"/>
          <w:szCs w:val="32"/>
        </w:rPr>
        <w:t>十一、关于</w:t>
      </w:r>
      <w:r w:rsidR="00EB7118">
        <w:rPr>
          <w:rFonts w:ascii="黑体" w:eastAsia="黑体" w:cs="黑体" w:hint="eastAsia"/>
          <w:sz w:val="32"/>
          <w:szCs w:val="32"/>
        </w:rPr>
        <w:t>2021</w:t>
      </w:r>
      <w:r>
        <w:rPr>
          <w:rFonts w:ascii="黑体" w:eastAsia="黑体" w:cs="黑体" w:hint="eastAsia"/>
          <w:sz w:val="32"/>
          <w:szCs w:val="32"/>
        </w:rPr>
        <w:t>年度绩效评价情况的说明</w:t>
      </w:r>
    </w:p>
    <w:p w:rsidR="000D6120" w:rsidRDefault="00245270" w:rsidP="009A00B1">
      <w:pPr>
        <w:widowControl w:val="0"/>
        <w:autoSpaceDE w:val="0"/>
        <w:autoSpaceDN w:val="0"/>
        <w:adjustRightInd w:val="0"/>
        <w:snapToGrid w:val="0"/>
        <w:spacing w:line="560" w:lineRule="exact"/>
        <w:ind w:firstLineChars="200" w:firstLine="640"/>
        <w:jc w:val="both"/>
      </w:pPr>
      <w:r>
        <w:rPr>
          <w:rFonts w:ascii="仿宋" w:eastAsia="仿宋" w:hAnsi="仿宋" w:hint="eastAsia"/>
          <w:sz w:val="32"/>
          <w:szCs w:val="32"/>
        </w:rPr>
        <w:t>根据预算绩效管理要求，</w:t>
      </w:r>
      <w:r w:rsidR="00EB7118">
        <w:rPr>
          <w:rFonts w:ascii="仿宋" w:eastAsia="仿宋" w:hAnsi="仿宋"/>
          <w:sz w:val="32"/>
          <w:szCs w:val="32"/>
        </w:rPr>
        <w:t>2021</w:t>
      </w:r>
      <w:r>
        <w:rPr>
          <w:rFonts w:ascii="仿宋" w:eastAsia="仿宋" w:hAnsi="仿宋"/>
          <w:sz w:val="32"/>
          <w:szCs w:val="32"/>
        </w:rPr>
        <w:t>年国家能源局</w:t>
      </w:r>
      <w:r>
        <w:rPr>
          <w:rFonts w:ascii="仿宋" w:eastAsia="仿宋" w:hAnsi="仿宋" w:hint="eastAsia"/>
          <w:sz w:val="32"/>
          <w:szCs w:val="32"/>
        </w:rPr>
        <w:t>新疆</w:t>
      </w:r>
      <w:r>
        <w:rPr>
          <w:rFonts w:ascii="仿宋" w:eastAsia="仿宋" w:hAnsi="仿宋"/>
          <w:sz w:val="32"/>
          <w:szCs w:val="32"/>
        </w:rPr>
        <w:t>监管办公室对</w:t>
      </w:r>
      <w:r>
        <w:rPr>
          <w:rFonts w:ascii="仿宋" w:eastAsia="仿宋" w:hAnsi="仿宋" w:hint="eastAsia"/>
          <w:sz w:val="32"/>
          <w:szCs w:val="32"/>
        </w:rPr>
        <w:t>5</w:t>
      </w:r>
      <w:r>
        <w:rPr>
          <w:rFonts w:ascii="仿宋" w:eastAsia="仿宋" w:hAnsi="仿宋"/>
          <w:sz w:val="32"/>
          <w:szCs w:val="32"/>
        </w:rPr>
        <w:t>个二级项目实施绩效目标管理，并开展绩效自评工作，涉及一般公共预算拨款</w:t>
      </w:r>
      <w:r w:rsidR="009A00B1">
        <w:rPr>
          <w:rFonts w:ascii="仿宋" w:eastAsia="仿宋" w:hAnsi="仿宋" w:hint="eastAsia"/>
          <w:sz w:val="32"/>
          <w:szCs w:val="32"/>
        </w:rPr>
        <w:t>220.49</w:t>
      </w:r>
      <w:r>
        <w:rPr>
          <w:rFonts w:ascii="仿宋" w:eastAsia="仿宋" w:hAnsi="仿宋"/>
          <w:sz w:val="32"/>
          <w:szCs w:val="32"/>
        </w:rPr>
        <w:t xml:space="preserve">万元，占一般公共预算项目支出总额的 </w:t>
      </w:r>
      <w:r>
        <w:rPr>
          <w:rFonts w:ascii="仿宋" w:eastAsia="仿宋" w:hAnsi="仿宋"/>
          <w:sz w:val="32"/>
          <w:szCs w:val="32"/>
        </w:rPr>
        <w:lastRenderedPageBreak/>
        <w:t>100%。从绩效自评情况来看，各项目绩效目标完成度高</w:t>
      </w:r>
      <w:r>
        <w:rPr>
          <w:rFonts w:ascii="仿宋" w:eastAsia="仿宋" w:hAnsi="仿宋" w:hint="eastAsia"/>
          <w:sz w:val="32"/>
          <w:szCs w:val="32"/>
        </w:rPr>
        <w:t>，</w:t>
      </w:r>
      <w:r>
        <w:rPr>
          <w:rFonts w:ascii="仿宋" w:eastAsia="仿宋" w:hAnsi="仿宋"/>
          <w:sz w:val="32"/>
          <w:szCs w:val="32"/>
        </w:rPr>
        <w:t>执行情况良好，充分发挥了财政资源使用效益，为能源监管事业开展提供了充足资金保障</w:t>
      </w:r>
      <w:r>
        <w:rPr>
          <w:rFonts w:ascii="FZFangSong-Z02S" w:eastAsia="FZFangSong-Z02S" w:hAnsi="FZFangSong-Z02S" w:cs="FZFangSong-Z02S"/>
          <w:color w:val="000000"/>
          <w:sz w:val="31"/>
          <w:szCs w:val="31"/>
        </w:rPr>
        <w:t>。</w:t>
      </w:r>
    </w:p>
    <w:p w:rsidR="000D6120" w:rsidRDefault="000D6120">
      <w:pPr>
        <w:rPr>
          <w:rFonts w:ascii="仿宋" w:eastAsia="仿宋" w:hAnsi="仿宋"/>
          <w:sz w:val="32"/>
          <w:szCs w:val="32"/>
        </w:rPr>
      </w:pPr>
    </w:p>
    <w:p w:rsidR="000D6120" w:rsidRDefault="000D6120">
      <w:pPr>
        <w:rPr>
          <w:rFonts w:ascii="黑体" w:eastAsia="黑体" w:cs="黑体"/>
          <w:sz w:val="72"/>
          <w:szCs w:val="72"/>
        </w:rPr>
      </w:pPr>
      <w:bookmarkStart w:id="0" w:name="_GoBack"/>
      <w:bookmarkEnd w:id="0"/>
    </w:p>
    <w:p w:rsidR="000D6120" w:rsidRDefault="000D6120">
      <w:pPr>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0D6120">
      <w:pPr>
        <w:widowControl w:val="0"/>
        <w:autoSpaceDE w:val="0"/>
        <w:autoSpaceDN w:val="0"/>
        <w:adjustRightInd w:val="0"/>
        <w:jc w:val="center"/>
        <w:rPr>
          <w:rFonts w:ascii="黑体" w:eastAsia="黑体" w:cs="黑体"/>
          <w:sz w:val="72"/>
          <w:szCs w:val="72"/>
        </w:rPr>
      </w:pPr>
    </w:p>
    <w:p w:rsidR="000D6120" w:rsidRDefault="00245270">
      <w:pPr>
        <w:widowControl w:val="0"/>
        <w:autoSpaceDE w:val="0"/>
        <w:autoSpaceDN w:val="0"/>
        <w:adjustRightInd w:val="0"/>
        <w:jc w:val="center"/>
        <w:rPr>
          <w:rFonts w:ascii="仿宋" w:eastAsia="仿宋" w:hAnsi="仿宋" w:cs="宋体"/>
          <w:sz w:val="32"/>
          <w:szCs w:val="32"/>
        </w:rPr>
      </w:pPr>
      <w:r>
        <w:rPr>
          <w:rFonts w:ascii="黑体" w:eastAsia="黑体" w:cs="黑体"/>
          <w:noProof/>
          <w:sz w:val="72"/>
          <w:szCs w:val="72"/>
        </w:rPr>
        <w:drawing>
          <wp:anchor distT="0" distB="0" distL="114300" distR="114300" simplePos="0" relativeHeight="251666432" behindDoc="1" locked="0" layoutInCell="1" allowOverlap="1">
            <wp:simplePos x="0" y="0"/>
            <wp:positionH relativeFrom="page">
              <wp:posOffset>-4445</wp:posOffset>
            </wp:positionH>
            <wp:positionV relativeFrom="page">
              <wp:posOffset>3877310</wp:posOffset>
            </wp:positionV>
            <wp:extent cx="7820025" cy="2276475"/>
            <wp:effectExtent l="0" t="0" r="1333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7820025" cy="2276475"/>
                    </a:xfrm>
                    <a:prstGeom prst="rect">
                      <a:avLst/>
                    </a:prstGeom>
                    <a:noFill/>
                  </pic:spPr>
                </pic:pic>
              </a:graphicData>
            </a:graphic>
          </wp:anchor>
        </w:drawing>
      </w:r>
      <w:r>
        <w:rPr>
          <w:rFonts w:ascii="黑体" w:eastAsia="黑体" w:cs="黑体" w:hint="eastAsia"/>
          <w:sz w:val="72"/>
          <w:szCs w:val="72"/>
        </w:rPr>
        <w:t>第四部分 名词解释</w:t>
      </w: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0D6120">
      <w:pPr>
        <w:widowControl w:val="0"/>
        <w:autoSpaceDE w:val="0"/>
        <w:autoSpaceDN w:val="0"/>
        <w:adjustRightInd w:val="0"/>
        <w:rPr>
          <w:rFonts w:ascii="仿宋_GB2312" w:eastAsia="仿宋_GB2312" w:cs="仿宋_GB2312"/>
          <w:sz w:val="32"/>
          <w:szCs w:val="32"/>
        </w:rPr>
      </w:pPr>
    </w:p>
    <w:p w:rsidR="000D6120" w:rsidRDefault="00245270">
      <w:pPr>
        <w:rPr>
          <w:rFonts w:ascii="仿宋_GB2312" w:eastAsia="仿宋_GB2312" w:cs="仿宋_GB2312"/>
          <w:sz w:val="32"/>
          <w:szCs w:val="32"/>
        </w:rPr>
      </w:pPr>
      <w:r>
        <w:rPr>
          <w:rFonts w:ascii="仿宋_GB2312" w:eastAsia="仿宋_GB2312" w:cs="仿宋_GB2312"/>
          <w:sz w:val="32"/>
          <w:szCs w:val="32"/>
        </w:rPr>
        <w:br w:type="page"/>
      </w:r>
    </w:p>
    <w:p w:rsidR="000D6120" w:rsidRDefault="00245270" w:rsidP="009A00B1">
      <w:pPr>
        <w:widowControl w:val="0"/>
        <w:autoSpaceDE w:val="0"/>
        <w:autoSpaceDN w:val="0"/>
        <w:adjustRightInd w:val="0"/>
        <w:snapToGrid w:val="0"/>
        <w:spacing w:before="100" w:beforeAutospacing="1" w:line="560" w:lineRule="exact"/>
        <w:ind w:firstLineChars="200" w:firstLine="643"/>
        <w:jc w:val="both"/>
        <w:rPr>
          <w:rFonts w:ascii="仿宋" w:eastAsia="仿宋" w:hAnsi="仿宋"/>
          <w:sz w:val="32"/>
          <w:szCs w:val="32"/>
        </w:rPr>
      </w:pPr>
      <w:r>
        <w:rPr>
          <w:rFonts w:ascii="仿宋" w:eastAsia="仿宋" w:hAnsi="仿宋" w:hint="eastAsia"/>
          <w:b/>
          <w:bCs/>
          <w:sz w:val="32"/>
          <w:szCs w:val="32"/>
        </w:rPr>
        <w:lastRenderedPageBreak/>
        <w:t>一、一般公共预算财政拨款收入：</w:t>
      </w:r>
      <w:r>
        <w:rPr>
          <w:rFonts w:ascii="仿宋" w:eastAsia="仿宋" w:hAnsi="仿宋" w:hint="eastAsia"/>
          <w:sz w:val="32"/>
          <w:szCs w:val="32"/>
        </w:rPr>
        <w:t>指中央财政当年拨付的资金。</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二、事业收入：</w:t>
      </w:r>
      <w:r>
        <w:rPr>
          <w:rFonts w:ascii="仿宋" w:eastAsia="仿宋" w:hAnsi="仿宋" w:hint="eastAsia"/>
          <w:sz w:val="32"/>
          <w:szCs w:val="32"/>
        </w:rPr>
        <w:t>指事业单位开展专业业务活动及辅助活动所取得的收入。</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四、其他收入：</w:t>
      </w:r>
      <w:r>
        <w:rPr>
          <w:rFonts w:ascii="仿宋" w:eastAsia="仿宋" w:hAnsi="仿宋" w:hint="eastAsia"/>
          <w:sz w:val="32"/>
          <w:szCs w:val="32"/>
        </w:rPr>
        <w:t>指除上述一般公共预算财政拨款收入、事业收入、经营收入等以外的收入。</w:t>
      </w:r>
    </w:p>
    <w:p w:rsidR="000D6120" w:rsidRDefault="00245270" w:rsidP="009A00B1">
      <w:pPr>
        <w:widowControl w:val="0"/>
        <w:autoSpaceDE w:val="0"/>
        <w:autoSpaceDN w:val="0"/>
        <w:adjustRightInd w:val="0"/>
        <w:spacing w:line="560" w:lineRule="exact"/>
        <w:contextualSpacing/>
        <w:jc w:val="both"/>
        <w:rPr>
          <w:rFonts w:ascii="仿宋" w:eastAsia="仿宋" w:hAnsi="仿宋" w:cs="仿宋_GB2312"/>
          <w:color w:val="000000"/>
          <w:sz w:val="32"/>
          <w:szCs w:val="32"/>
        </w:rPr>
      </w:pPr>
      <w:r>
        <w:rPr>
          <w:rFonts w:ascii="仿宋" w:eastAsia="仿宋" w:hAnsi="仿宋" w:hint="eastAsia"/>
          <w:b/>
          <w:bCs/>
          <w:sz w:val="32"/>
          <w:szCs w:val="32"/>
        </w:rPr>
        <w:t xml:space="preserve">    五、用事业基金弥补收支差额</w:t>
      </w:r>
      <w:r>
        <w:rPr>
          <w:rFonts w:ascii="仿宋" w:eastAsia="仿宋" w:hAnsi="仿宋" w:cs="仿宋_GB2312" w:hint="eastAsia"/>
          <w:color w:val="000000"/>
          <w:sz w:val="32"/>
          <w:szCs w:val="32"/>
        </w:rPr>
        <w:t>：指事业单位在当年的一般公共预算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cs="仿宋_GB2312" w:hint="eastAsia"/>
          <w:b/>
          <w:color w:val="000000"/>
          <w:sz w:val="32"/>
          <w:szCs w:val="32"/>
        </w:rPr>
        <w:t>六、年初结转和结余：</w:t>
      </w:r>
      <w:r>
        <w:rPr>
          <w:rFonts w:ascii="仿宋" w:eastAsia="仿宋" w:hAnsi="仿宋" w:cs="仿宋_GB2312" w:hint="eastAsia"/>
          <w:color w:val="000000"/>
          <w:sz w:val="32"/>
          <w:szCs w:val="32"/>
        </w:rPr>
        <w:t>指以前年度安排、结转到本年仍按原规定用途继续使用的资金。</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七、外交支出（类）国际组织（款）国际组织会费（项）：</w:t>
      </w:r>
      <w:r>
        <w:rPr>
          <w:rFonts w:ascii="仿宋" w:eastAsia="仿宋" w:hAnsi="仿宋" w:hint="eastAsia"/>
          <w:sz w:val="32"/>
          <w:szCs w:val="32"/>
        </w:rPr>
        <w:t>指用于以我国政府名义参加国际组织，按国际组织章程或协定规定缴纳的会费支出。</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八、外交支出（类）其他外交支出（款）其他外交支出（项）：</w:t>
      </w:r>
      <w:r>
        <w:rPr>
          <w:rFonts w:ascii="仿宋" w:eastAsia="仿宋" w:hAnsi="仿宋" w:hint="eastAsia"/>
          <w:sz w:val="32"/>
          <w:szCs w:val="32"/>
        </w:rPr>
        <w:t>指除用于缴纳国际组织会费以外的其他外交方面的支出。</w:t>
      </w:r>
    </w:p>
    <w:p w:rsidR="000D6120" w:rsidRDefault="00245270" w:rsidP="009A00B1">
      <w:pPr>
        <w:pStyle w:val="p0"/>
        <w:widowControl w:val="0"/>
        <w:adjustRightInd w:val="0"/>
        <w:spacing w:line="560" w:lineRule="exact"/>
        <w:ind w:firstLine="641"/>
        <w:contextualSpacing/>
        <w:rPr>
          <w:rFonts w:ascii="仿宋" w:eastAsia="仿宋" w:hAnsi="仿宋"/>
          <w:sz w:val="32"/>
          <w:szCs w:val="32"/>
        </w:rPr>
      </w:pPr>
      <w:r>
        <w:rPr>
          <w:rFonts w:ascii="仿宋" w:eastAsia="仿宋" w:hAnsi="仿宋" w:hint="eastAsia"/>
          <w:b/>
          <w:bCs/>
          <w:sz w:val="32"/>
          <w:szCs w:val="32"/>
        </w:rPr>
        <w:t>九、科学技术支出（类）：</w:t>
      </w:r>
      <w:r>
        <w:rPr>
          <w:rFonts w:ascii="仿宋" w:eastAsia="仿宋" w:hAnsi="仿宋" w:hint="eastAsia"/>
          <w:sz w:val="32"/>
          <w:szCs w:val="32"/>
        </w:rPr>
        <w:t>反映国家推进产业发展中重大、共性、关键性技术研究与开发，加速产业技术进步和结构调整等方面的支出。</w:t>
      </w:r>
    </w:p>
    <w:p w:rsidR="000D6120" w:rsidRDefault="00245270" w:rsidP="009A00B1">
      <w:pPr>
        <w:spacing w:line="560" w:lineRule="exact"/>
        <w:ind w:firstLineChars="200" w:firstLine="643"/>
        <w:rPr>
          <w:rFonts w:ascii="仿宋" w:eastAsia="仿宋" w:hAnsi="仿宋"/>
          <w:sz w:val="32"/>
          <w:szCs w:val="32"/>
        </w:rPr>
      </w:pPr>
      <w:r>
        <w:rPr>
          <w:rFonts w:ascii="仿宋" w:eastAsia="仿宋" w:hAnsi="仿宋" w:hint="eastAsia"/>
          <w:b/>
          <w:bCs/>
          <w:sz w:val="32"/>
          <w:szCs w:val="32"/>
        </w:rPr>
        <w:t>十</w:t>
      </w:r>
      <w:r>
        <w:rPr>
          <w:rFonts w:ascii="仿宋" w:eastAsia="仿宋" w:hAnsi="仿宋" w:hint="eastAsia"/>
          <w:sz w:val="32"/>
          <w:szCs w:val="32"/>
        </w:rPr>
        <w:t>、</w:t>
      </w:r>
      <w:r>
        <w:rPr>
          <w:rFonts w:ascii="仿宋" w:eastAsia="仿宋" w:hAnsi="仿宋" w:hint="eastAsia"/>
          <w:b/>
          <w:bCs/>
          <w:sz w:val="32"/>
          <w:szCs w:val="32"/>
        </w:rPr>
        <w:t>社会保障和就业支出（类）行政事业单位离退休（款）归口管理的行政单位离退休（项）：</w:t>
      </w:r>
      <w:r>
        <w:rPr>
          <w:rFonts w:ascii="仿宋" w:eastAsia="仿宋" w:hAnsi="仿宋" w:hint="eastAsia"/>
          <w:sz w:val="32"/>
          <w:szCs w:val="32"/>
        </w:rPr>
        <w:t>反映所属单位实行归口管理的离退休经费方面的支出。</w:t>
      </w:r>
    </w:p>
    <w:p w:rsidR="000D6120" w:rsidRDefault="00245270" w:rsidP="009A00B1">
      <w:pPr>
        <w:pStyle w:val="p0"/>
        <w:widowControl w:val="0"/>
        <w:adjustRightInd w:val="0"/>
        <w:spacing w:line="560" w:lineRule="exact"/>
        <w:ind w:firstLine="641"/>
        <w:contextualSpacing/>
        <w:rPr>
          <w:rFonts w:ascii="仿宋" w:eastAsia="仿宋" w:hAnsi="仿宋"/>
          <w:sz w:val="32"/>
          <w:szCs w:val="32"/>
        </w:rPr>
      </w:pPr>
      <w:r>
        <w:rPr>
          <w:rFonts w:ascii="仿宋" w:eastAsia="仿宋" w:hAnsi="仿宋" w:hint="eastAsia"/>
          <w:b/>
          <w:bCs/>
          <w:sz w:val="32"/>
          <w:szCs w:val="32"/>
        </w:rPr>
        <w:lastRenderedPageBreak/>
        <w:t>十一、社会保障和就业支出（类）行政事业单位离退休（款）未归口管理的行政单位离退休（项）：</w:t>
      </w:r>
      <w:r>
        <w:rPr>
          <w:rFonts w:ascii="仿宋" w:eastAsia="仿宋" w:hAnsi="仿宋" w:hint="eastAsia"/>
          <w:sz w:val="32"/>
          <w:szCs w:val="32"/>
        </w:rPr>
        <w:t>反映所属单位未实行归口管理的离退休经费方面的支出。</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十二、社会保障和就业（类）行政事业单位离退休（款）机关事业单位基本养老保险缴费支出（项）：</w:t>
      </w:r>
      <w:r>
        <w:rPr>
          <w:rFonts w:ascii="仿宋" w:eastAsia="仿宋" w:hAnsi="仿宋" w:hint="eastAsia"/>
          <w:sz w:val="32"/>
          <w:szCs w:val="32"/>
        </w:rPr>
        <w:t>反映机关事业单位实施养老保险制度由单位缴纳的基本养老保险费支出。</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十三、社会保障和就业（类）行政事业单位离退休（款）机关事业单位职业年金缴费支出（项）：</w:t>
      </w:r>
      <w:r>
        <w:rPr>
          <w:rFonts w:ascii="仿宋" w:eastAsia="仿宋" w:hAnsi="仿宋" w:hint="eastAsia"/>
          <w:sz w:val="32"/>
          <w:szCs w:val="32"/>
        </w:rPr>
        <w:t>反映机关事业单位实施养老保险制度由单位缴纳的职业年金支出。</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十四、卫生健康支出（类）医疗保障（款）行政单位医疗（项）：</w:t>
      </w:r>
      <w:r>
        <w:rPr>
          <w:rFonts w:ascii="仿宋" w:eastAsia="仿宋" w:hAnsi="仿宋" w:hint="eastAsia"/>
          <w:sz w:val="32"/>
          <w:szCs w:val="32"/>
        </w:rPr>
        <w:t>反映财政部门集中安排的行政单位基本医疗保险缴费经费，未参加医疗保险的行政单位的公费医疗经费。</w:t>
      </w:r>
    </w:p>
    <w:p w:rsidR="000D6120" w:rsidRDefault="00245270" w:rsidP="009A00B1">
      <w:pPr>
        <w:pStyle w:val="p0"/>
        <w:widowControl w:val="0"/>
        <w:adjustRightInd w:val="0"/>
        <w:spacing w:line="560" w:lineRule="exact"/>
        <w:contextualSpacing/>
        <w:rPr>
          <w:rFonts w:ascii="仿宋" w:eastAsia="仿宋" w:hAnsi="仿宋"/>
          <w:sz w:val="32"/>
          <w:szCs w:val="32"/>
        </w:rPr>
      </w:pPr>
      <w:r>
        <w:rPr>
          <w:rFonts w:ascii="仿宋" w:eastAsia="仿宋" w:hAnsi="仿宋" w:hint="eastAsia"/>
          <w:b/>
          <w:bCs/>
          <w:sz w:val="32"/>
          <w:szCs w:val="32"/>
        </w:rPr>
        <w:t xml:space="preserve">    十五、节能环保支出（类）能源节约利用（款）能源节约利用（项）：</w:t>
      </w:r>
      <w:r>
        <w:rPr>
          <w:rFonts w:ascii="仿宋" w:eastAsia="仿宋" w:hAnsi="仿宋" w:hint="eastAsia"/>
          <w:sz w:val="32"/>
          <w:szCs w:val="32"/>
        </w:rPr>
        <w:t>指用于能源节约利用方面的支出。</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十六、节能环保支出（类）可再生能源（款）可再生能源（项）：</w:t>
      </w:r>
      <w:r>
        <w:rPr>
          <w:rFonts w:ascii="仿宋" w:eastAsia="仿宋" w:hAnsi="仿宋" w:hint="eastAsia"/>
          <w:sz w:val="32"/>
          <w:szCs w:val="32"/>
        </w:rPr>
        <w:t>指用于可再生能源方面的支出。</w:t>
      </w:r>
    </w:p>
    <w:p w:rsidR="000D6120" w:rsidRDefault="00245270" w:rsidP="009A00B1">
      <w:pPr>
        <w:pStyle w:val="p0"/>
        <w:widowControl w:val="0"/>
        <w:adjustRightInd w:val="0"/>
        <w:spacing w:line="560" w:lineRule="exact"/>
        <w:ind w:firstLine="634"/>
        <w:contextualSpacing/>
        <w:rPr>
          <w:rFonts w:ascii="仿宋" w:eastAsia="仿宋" w:hAnsi="仿宋"/>
          <w:b/>
          <w:bCs/>
          <w:sz w:val="32"/>
          <w:szCs w:val="32"/>
        </w:rPr>
      </w:pPr>
      <w:r>
        <w:rPr>
          <w:rFonts w:ascii="仿宋" w:eastAsia="仿宋" w:hAnsi="仿宋" w:hint="eastAsia"/>
          <w:b/>
          <w:bCs/>
          <w:sz w:val="32"/>
          <w:szCs w:val="32"/>
        </w:rPr>
        <w:t>十七、节能环保支出（类）能源管理事务（款）行政运行（项）：</w:t>
      </w:r>
      <w:r>
        <w:rPr>
          <w:rFonts w:ascii="仿宋" w:eastAsia="仿宋" w:hAnsi="仿宋" w:hint="eastAsia"/>
          <w:sz w:val="32"/>
          <w:szCs w:val="32"/>
        </w:rPr>
        <w:t>指国家能源局机关及派出机构用于保障机构正常运行、开展日常工作的基本支出。</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十八、住房保障支出（类）住房改革支出（款）住房公积金（项）：</w:t>
      </w:r>
      <w:r>
        <w:rPr>
          <w:rFonts w:ascii="仿宋" w:eastAsia="仿宋" w:hAnsi="仿宋" w:hint="eastAsia"/>
          <w:sz w:val="32"/>
          <w:szCs w:val="32"/>
        </w:rPr>
        <w:t>反映按照国家政策规定为职工缴纳的住房公积金。</w:t>
      </w:r>
    </w:p>
    <w:p w:rsidR="000D6120" w:rsidRDefault="00245270" w:rsidP="009A00B1">
      <w:pPr>
        <w:spacing w:line="560" w:lineRule="exact"/>
        <w:ind w:firstLineChars="200" w:firstLine="643"/>
        <w:rPr>
          <w:rFonts w:ascii="仿宋" w:eastAsia="仿宋" w:hAnsi="仿宋"/>
          <w:sz w:val="32"/>
          <w:szCs w:val="32"/>
        </w:rPr>
      </w:pPr>
      <w:r>
        <w:rPr>
          <w:rFonts w:ascii="仿宋" w:eastAsia="仿宋" w:hAnsi="仿宋" w:hint="eastAsia"/>
          <w:b/>
          <w:bCs/>
          <w:sz w:val="32"/>
          <w:szCs w:val="32"/>
        </w:rPr>
        <w:t>十九、住房保障支出（类）住房改革支出（款）提租补贴（项）：</w:t>
      </w:r>
      <w:r>
        <w:rPr>
          <w:rFonts w:ascii="仿宋" w:eastAsia="仿宋" w:hAnsi="仿宋"/>
          <w:sz w:val="32"/>
          <w:szCs w:val="32"/>
        </w:rPr>
        <w:t>反映按房改政策规定的标准，行政事业单位向职工（含离退休人员）发放的租金补贴。</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二十、住房保障支出（类）住房改革支出（款）购房补贴（项）：</w:t>
      </w:r>
    </w:p>
    <w:p w:rsidR="000D6120" w:rsidRDefault="00245270" w:rsidP="009A00B1">
      <w:pPr>
        <w:pStyle w:val="p0"/>
        <w:widowControl w:val="0"/>
        <w:adjustRightInd w:val="0"/>
        <w:spacing w:line="560" w:lineRule="exact"/>
        <w:contextualSpacing/>
        <w:rPr>
          <w:rFonts w:ascii="仿宋" w:eastAsia="仿宋" w:hAnsi="仿宋"/>
          <w:sz w:val="32"/>
          <w:szCs w:val="32"/>
        </w:rPr>
      </w:pPr>
      <w:r>
        <w:rPr>
          <w:rFonts w:ascii="仿宋" w:eastAsia="仿宋" w:hAnsi="仿宋"/>
          <w:sz w:val="32"/>
          <w:szCs w:val="32"/>
        </w:rPr>
        <w:t>反映按房改政策规定，行政事业单位向符合条件职工（含离退休</w:t>
      </w:r>
      <w:r>
        <w:rPr>
          <w:rFonts w:ascii="仿宋" w:eastAsia="仿宋" w:hAnsi="仿宋"/>
          <w:sz w:val="32"/>
          <w:szCs w:val="32"/>
        </w:rPr>
        <w:lastRenderedPageBreak/>
        <w:t>人员）发放的用于购买住房的补贴。</w:t>
      </w:r>
    </w:p>
    <w:p w:rsidR="000D6120" w:rsidRDefault="00245270" w:rsidP="009A00B1">
      <w:pPr>
        <w:widowControl w:val="0"/>
        <w:adjustRightInd w:val="0"/>
        <w:spacing w:line="560" w:lineRule="exact"/>
        <w:ind w:firstLineChars="200" w:firstLine="643"/>
        <w:contextualSpacing/>
        <w:jc w:val="both"/>
        <w:rPr>
          <w:rFonts w:ascii="仿宋" w:eastAsia="仿宋" w:hAnsi="仿宋"/>
          <w:sz w:val="32"/>
          <w:szCs w:val="32"/>
        </w:rPr>
      </w:pPr>
      <w:r>
        <w:rPr>
          <w:rFonts w:ascii="仿宋" w:eastAsia="仿宋" w:hAnsi="仿宋" w:hint="eastAsia"/>
          <w:b/>
          <w:bCs/>
          <w:sz w:val="32"/>
          <w:szCs w:val="32"/>
        </w:rPr>
        <w:t>二十一、国有资本经营预算支出（类）国有企业资本金注入（款）国有经济结构调整支出（项）</w:t>
      </w:r>
      <w:r>
        <w:rPr>
          <w:rFonts w:ascii="仿宋" w:eastAsia="仿宋" w:hAnsi="仿宋" w:hint="eastAsia"/>
          <w:sz w:val="32"/>
        </w:rPr>
        <w:t>：</w:t>
      </w:r>
      <w:r>
        <w:rPr>
          <w:rFonts w:ascii="仿宋" w:eastAsia="仿宋" w:hAnsi="仿宋" w:hint="eastAsia"/>
          <w:sz w:val="32"/>
          <w:szCs w:val="32"/>
        </w:rPr>
        <w:t>反映用国有资本经营预算收入安排的支出国有企业战略性重组、产业结构调整、推动国有资本投向重点行业和关键领域等方面的支出。</w:t>
      </w:r>
    </w:p>
    <w:p w:rsidR="000D6120" w:rsidRDefault="00245270" w:rsidP="009A00B1">
      <w:pPr>
        <w:widowControl w:val="0"/>
        <w:adjustRightInd w:val="0"/>
        <w:spacing w:line="560" w:lineRule="exact"/>
        <w:ind w:firstLineChars="200" w:firstLine="643"/>
        <w:contextualSpacing/>
        <w:jc w:val="both"/>
        <w:rPr>
          <w:rFonts w:ascii="仿宋" w:eastAsia="仿宋" w:hAnsi="仿宋"/>
          <w:sz w:val="32"/>
          <w:szCs w:val="32"/>
        </w:rPr>
      </w:pPr>
      <w:r>
        <w:rPr>
          <w:rFonts w:ascii="仿宋" w:eastAsia="仿宋" w:hAnsi="仿宋" w:hint="eastAsia"/>
          <w:b/>
          <w:bCs/>
          <w:sz w:val="32"/>
          <w:szCs w:val="32"/>
        </w:rPr>
        <w:t>二十二、结余分配：</w:t>
      </w:r>
      <w:r>
        <w:rPr>
          <w:rFonts w:ascii="仿宋" w:eastAsia="仿宋" w:hAnsi="仿宋" w:hint="eastAsia"/>
          <w:sz w:val="32"/>
          <w:szCs w:val="32"/>
        </w:rPr>
        <w:t>指事业单位按照规定提取的职工福利基金、事业基金和缴纳的所得税等。</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二十三、年末结转和结余：</w:t>
      </w:r>
      <w:r>
        <w:rPr>
          <w:rFonts w:ascii="仿宋" w:eastAsia="仿宋" w:hAnsi="仿宋"/>
          <w:sz w:val="32"/>
          <w:szCs w:val="32"/>
        </w:rPr>
        <w:t>指</w:t>
      </w:r>
      <w:r>
        <w:rPr>
          <w:rFonts w:ascii="仿宋" w:eastAsia="仿宋" w:hAnsi="仿宋" w:hint="eastAsia"/>
          <w:sz w:val="32"/>
          <w:szCs w:val="32"/>
        </w:rPr>
        <w:t>本年度或</w:t>
      </w:r>
      <w:r>
        <w:rPr>
          <w:rFonts w:ascii="仿宋" w:eastAsia="仿宋" w:hAnsi="仿宋"/>
          <w:sz w:val="32"/>
          <w:szCs w:val="32"/>
        </w:rPr>
        <w:t>以前年度预算安排、因客观条件发生变化</w:t>
      </w:r>
      <w:r>
        <w:rPr>
          <w:rFonts w:ascii="仿宋" w:eastAsia="仿宋" w:hAnsi="仿宋" w:hint="eastAsia"/>
          <w:sz w:val="32"/>
          <w:szCs w:val="32"/>
        </w:rPr>
        <w:t>未全部执行或未执行</w:t>
      </w:r>
      <w:r>
        <w:rPr>
          <w:rFonts w:ascii="仿宋" w:eastAsia="仿宋" w:hAnsi="仿宋"/>
          <w:sz w:val="32"/>
          <w:szCs w:val="32"/>
        </w:rPr>
        <w:t>，</w:t>
      </w:r>
      <w:r>
        <w:rPr>
          <w:rFonts w:ascii="仿宋" w:eastAsia="仿宋" w:hAnsi="仿宋" w:hint="eastAsia"/>
          <w:sz w:val="32"/>
          <w:szCs w:val="32"/>
        </w:rPr>
        <w:t>结转</w:t>
      </w:r>
      <w:r>
        <w:rPr>
          <w:rFonts w:ascii="仿宋" w:eastAsia="仿宋" w:hAnsi="仿宋"/>
          <w:sz w:val="32"/>
          <w:szCs w:val="32"/>
        </w:rPr>
        <w:t>到以后年度按原规定用途继续使用的资金</w:t>
      </w:r>
      <w:r>
        <w:rPr>
          <w:rFonts w:ascii="仿宋" w:eastAsia="仿宋" w:hAnsi="仿宋" w:hint="eastAsia"/>
          <w:sz w:val="32"/>
          <w:szCs w:val="32"/>
        </w:rPr>
        <w:t>，或项目已完成等产生的结余资金</w:t>
      </w:r>
      <w:r>
        <w:rPr>
          <w:rFonts w:ascii="仿宋" w:eastAsia="仿宋" w:hAnsi="仿宋"/>
          <w:sz w:val="32"/>
          <w:szCs w:val="32"/>
        </w:rPr>
        <w:t>。</w:t>
      </w:r>
    </w:p>
    <w:p w:rsidR="000D6120" w:rsidRDefault="00245270" w:rsidP="009A00B1">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二十四、基本支出：</w:t>
      </w:r>
      <w:r>
        <w:rPr>
          <w:rFonts w:ascii="仿宋" w:eastAsia="仿宋" w:hAnsi="仿宋" w:hint="eastAsia"/>
          <w:sz w:val="32"/>
          <w:szCs w:val="32"/>
        </w:rPr>
        <w:t>指为保障机构正常运转、完成日常工作任务而发生的人员支出和公用支出。</w:t>
      </w:r>
    </w:p>
    <w:p w:rsidR="000D6120" w:rsidRDefault="00245270" w:rsidP="009A00B1">
      <w:pPr>
        <w:pStyle w:val="p0"/>
        <w:widowControl w:val="0"/>
        <w:adjustRightInd w:val="0"/>
        <w:spacing w:line="560" w:lineRule="exact"/>
        <w:contextualSpacing/>
        <w:rPr>
          <w:rFonts w:ascii="仿宋" w:eastAsia="仿宋" w:hAnsi="仿宋"/>
          <w:sz w:val="32"/>
          <w:szCs w:val="32"/>
        </w:rPr>
      </w:pPr>
      <w:r>
        <w:rPr>
          <w:rFonts w:ascii="仿宋" w:eastAsia="仿宋" w:hAnsi="仿宋" w:hint="eastAsia"/>
          <w:b/>
          <w:bCs/>
          <w:sz w:val="32"/>
          <w:szCs w:val="32"/>
        </w:rPr>
        <w:t xml:space="preserve">    二十五、项目支出：</w:t>
      </w:r>
      <w:r>
        <w:rPr>
          <w:rFonts w:ascii="仿宋" w:eastAsia="仿宋" w:hAnsi="仿宋" w:hint="eastAsia"/>
          <w:sz w:val="32"/>
          <w:szCs w:val="32"/>
        </w:rPr>
        <w:t>指在基本支出之外为完成特定行政任务和事业发展目标所发生的支出。</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二十六、经营支出：</w:t>
      </w:r>
      <w:r>
        <w:rPr>
          <w:rFonts w:ascii="仿宋" w:eastAsia="仿宋" w:hAnsi="仿宋" w:hint="eastAsia"/>
          <w:sz w:val="32"/>
          <w:szCs w:val="32"/>
        </w:rPr>
        <w:t>指事业单位在专业业务活动及其辅助活动之外开展非独立核算经营活动发生的支出。</w:t>
      </w:r>
    </w:p>
    <w:p w:rsidR="000D6120" w:rsidRDefault="00245270" w:rsidP="009A00B1">
      <w:pPr>
        <w:spacing w:line="560" w:lineRule="exact"/>
        <w:ind w:firstLineChars="200" w:firstLine="643"/>
        <w:rPr>
          <w:rFonts w:ascii="仿宋" w:eastAsia="仿宋" w:hAnsi="仿宋"/>
          <w:sz w:val="32"/>
          <w:szCs w:val="32"/>
        </w:rPr>
      </w:pPr>
      <w:r>
        <w:rPr>
          <w:rFonts w:ascii="仿宋" w:eastAsia="仿宋" w:hAnsi="仿宋" w:hint="eastAsia"/>
          <w:b/>
          <w:bCs/>
          <w:sz w:val="32"/>
          <w:szCs w:val="32"/>
        </w:rPr>
        <w:t>二十七、“三公”经费：</w:t>
      </w:r>
      <w:r>
        <w:rPr>
          <w:rFonts w:ascii="仿宋" w:eastAsia="仿宋" w:hAnsi="仿宋" w:hint="eastAsia"/>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0D6120" w:rsidRDefault="00245270" w:rsidP="009A00B1">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二十八、机关运行经费：</w:t>
      </w:r>
      <w:r>
        <w:rPr>
          <w:rFonts w:ascii="仿宋" w:eastAsia="仿宋" w:hAnsi="仿宋" w:hint="eastAsia"/>
          <w:sz w:val="32"/>
          <w:szCs w:val="32"/>
        </w:rPr>
        <w:t>为保障行政单位（包括参照公务员法管理的事业单位）运行用于购买货物和服务的各项资金，包括</w:t>
      </w:r>
      <w:r>
        <w:rPr>
          <w:rFonts w:ascii="仿宋" w:eastAsia="仿宋" w:hAnsi="仿宋"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0D6120" w:rsidRDefault="000D6120" w:rsidP="009A00B1">
      <w:pPr>
        <w:spacing w:line="560" w:lineRule="exact"/>
        <w:rPr>
          <w:rFonts w:ascii="仿宋" w:eastAsia="仿宋" w:hAnsi="仿宋"/>
          <w:sz w:val="32"/>
          <w:szCs w:val="32"/>
        </w:rPr>
      </w:pPr>
    </w:p>
    <w:sectPr w:rsidR="000D6120" w:rsidSect="000D6120">
      <w:footerReference w:type="default" r:id="rId19"/>
      <w:pgSz w:w="11900" w:h="16840"/>
      <w:pgMar w:top="949" w:right="1127" w:bottom="0" w:left="1702"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AB8" w:rsidRDefault="00EB6AB8" w:rsidP="000D6120">
      <w:r>
        <w:separator/>
      </w:r>
    </w:p>
  </w:endnote>
  <w:endnote w:type="continuationSeparator" w:id="1">
    <w:p w:rsidR="00EB6AB8" w:rsidRDefault="00EB6AB8" w:rsidP="000D6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MEHBVP+TimesNewRomanPSMT">
    <w:altName w:val="Times New Roman"/>
    <w:charset w:val="01"/>
    <w:family w:val="roman"/>
    <w:pitch w:val="default"/>
    <w:sig w:usb0="00000000" w:usb1="00000000" w:usb2="01010101" w:usb3="01010101" w:csb0="01010101" w:csb1="01010101"/>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FZFangSong-Z02S">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50" w:rsidRDefault="00A22E50">
    <w:pPr>
      <w:pStyle w:val="aa"/>
      <w:jc w:val="center"/>
    </w:pPr>
  </w:p>
  <w:p w:rsidR="00A22E50" w:rsidRDefault="00A22E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50" w:rsidRDefault="004B0795">
    <w:pPr>
      <w:pStyle w:val="aa"/>
      <w:jc w:val="center"/>
    </w:pPr>
    <w:r w:rsidRPr="004B0795">
      <w:fldChar w:fldCharType="begin"/>
    </w:r>
    <w:r w:rsidR="00A22E50">
      <w:instrText xml:space="preserve"> PAGE   \* MERGEFORMAT </w:instrText>
    </w:r>
    <w:r w:rsidRPr="004B0795">
      <w:fldChar w:fldCharType="separate"/>
    </w:r>
    <w:r w:rsidR="00F861F8" w:rsidRPr="00F861F8">
      <w:rPr>
        <w:noProof/>
        <w:lang w:val="zh-CN"/>
      </w:rPr>
      <w:t>16</w:t>
    </w:r>
    <w:r>
      <w:rPr>
        <w:lang w:val="zh-CN"/>
      </w:rPr>
      <w:fldChar w:fldCharType="end"/>
    </w:r>
  </w:p>
  <w:p w:rsidR="00A22E50" w:rsidRDefault="00A22E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B8" w:rsidRDefault="00EB6AB8" w:rsidP="000D6120">
      <w:r>
        <w:separator/>
      </w:r>
    </w:p>
  </w:footnote>
  <w:footnote w:type="continuationSeparator" w:id="1">
    <w:p w:rsidR="00EB6AB8" w:rsidRDefault="00EB6AB8" w:rsidP="000D6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A5DBA"/>
    <w:multiLevelType w:val="singleLevel"/>
    <w:tmpl w:val="2C0A5DBA"/>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FiOTY3MDJmNjhiNjUyMjA3ZDRlYWM0ZmUwMWM1NzcifQ=="/>
  </w:docVars>
  <w:rsids>
    <w:rsidRoot w:val="00172A27"/>
    <w:rsid w:val="AFFF7E7B"/>
    <w:rsid w:val="B33D690E"/>
    <w:rsid w:val="F555EFB6"/>
    <w:rsid w:val="00002064"/>
    <w:rsid w:val="00012A29"/>
    <w:rsid w:val="00012AA6"/>
    <w:rsid w:val="00015489"/>
    <w:rsid w:val="00015763"/>
    <w:rsid w:val="00022FE2"/>
    <w:rsid w:val="00032EAB"/>
    <w:rsid w:val="0004243A"/>
    <w:rsid w:val="00050C96"/>
    <w:rsid w:val="000540F2"/>
    <w:rsid w:val="00070218"/>
    <w:rsid w:val="000720DD"/>
    <w:rsid w:val="00074ED2"/>
    <w:rsid w:val="000823F5"/>
    <w:rsid w:val="00092FBB"/>
    <w:rsid w:val="00097F70"/>
    <w:rsid w:val="000A2A4A"/>
    <w:rsid w:val="000A3689"/>
    <w:rsid w:val="000B203B"/>
    <w:rsid w:val="000B298C"/>
    <w:rsid w:val="000B4CFB"/>
    <w:rsid w:val="000B5821"/>
    <w:rsid w:val="000B5E01"/>
    <w:rsid w:val="000B73E5"/>
    <w:rsid w:val="000C7CD7"/>
    <w:rsid w:val="000D3DC4"/>
    <w:rsid w:val="000D6120"/>
    <w:rsid w:val="000D7D53"/>
    <w:rsid w:val="000E1D66"/>
    <w:rsid w:val="000E2ACF"/>
    <w:rsid w:val="000E4C14"/>
    <w:rsid w:val="000F5068"/>
    <w:rsid w:val="000F53AA"/>
    <w:rsid w:val="000F67C5"/>
    <w:rsid w:val="00101B06"/>
    <w:rsid w:val="00105253"/>
    <w:rsid w:val="0011239D"/>
    <w:rsid w:val="001245F0"/>
    <w:rsid w:val="00125E48"/>
    <w:rsid w:val="001279B9"/>
    <w:rsid w:val="001349C8"/>
    <w:rsid w:val="00140D8F"/>
    <w:rsid w:val="0014337E"/>
    <w:rsid w:val="00143D3C"/>
    <w:rsid w:val="001507B1"/>
    <w:rsid w:val="001670A4"/>
    <w:rsid w:val="00172A27"/>
    <w:rsid w:val="00174F6F"/>
    <w:rsid w:val="00177049"/>
    <w:rsid w:val="00187395"/>
    <w:rsid w:val="001878EB"/>
    <w:rsid w:val="00187FF6"/>
    <w:rsid w:val="00196361"/>
    <w:rsid w:val="00196FAE"/>
    <w:rsid w:val="001A1F44"/>
    <w:rsid w:val="001A2C4F"/>
    <w:rsid w:val="001A6B88"/>
    <w:rsid w:val="001A7D23"/>
    <w:rsid w:val="001B41C5"/>
    <w:rsid w:val="001B487B"/>
    <w:rsid w:val="001C0D7E"/>
    <w:rsid w:val="001C24F4"/>
    <w:rsid w:val="001C4048"/>
    <w:rsid w:val="001C4212"/>
    <w:rsid w:val="001C502F"/>
    <w:rsid w:val="001D28AD"/>
    <w:rsid w:val="001D2AD2"/>
    <w:rsid w:val="001D2C39"/>
    <w:rsid w:val="001D2EB7"/>
    <w:rsid w:val="001D327A"/>
    <w:rsid w:val="001D7698"/>
    <w:rsid w:val="001D7A3C"/>
    <w:rsid w:val="001E364D"/>
    <w:rsid w:val="001F1D55"/>
    <w:rsid w:val="001F2995"/>
    <w:rsid w:val="001F4015"/>
    <w:rsid w:val="001F59FF"/>
    <w:rsid w:val="001F6314"/>
    <w:rsid w:val="001F7FE4"/>
    <w:rsid w:val="002003E3"/>
    <w:rsid w:val="002104B0"/>
    <w:rsid w:val="0021304C"/>
    <w:rsid w:val="00215A2F"/>
    <w:rsid w:val="002174BF"/>
    <w:rsid w:val="00220EEB"/>
    <w:rsid w:val="00224C21"/>
    <w:rsid w:val="002262BA"/>
    <w:rsid w:val="00226C9F"/>
    <w:rsid w:val="0023702B"/>
    <w:rsid w:val="00237207"/>
    <w:rsid w:val="0024083C"/>
    <w:rsid w:val="0024417C"/>
    <w:rsid w:val="00244EC2"/>
    <w:rsid w:val="00245270"/>
    <w:rsid w:val="002459AE"/>
    <w:rsid w:val="00247492"/>
    <w:rsid w:val="00262BCB"/>
    <w:rsid w:val="00267925"/>
    <w:rsid w:val="00271D5D"/>
    <w:rsid w:val="00276541"/>
    <w:rsid w:val="00284687"/>
    <w:rsid w:val="00292BF7"/>
    <w:rsid w:val="00297AB6"/>
    <w:rsid w:val="002A0D61"/>
    <w:rsid w:val="002A535F"/>
    <w:rsid w:val="002B00D0"/>
    <w:rsid w:val="002B7C6C"/>
    <w:rsid w:val="002C0AAD"/>
    <w:rsid w:val="002C1E92"/>
    <w:rsid w:val="002D0575"/>
    <w:rsid w:val="002D6C23"/>
    <w:rsid w:val="002E1A74"/>
    <w:rsid w:val="002E1E64"/>
    <w:rsid w:val="002E250E"/>
    <w:rsid w:val="002F0C58"/>
    <w:rsid w:val="002F4692"/>
    <w:rsid w:val="002F6B8D"/>
    <w:rsid w:val="0030029D"/>
    <w:rsid w:val="00303280"/>
    <w:rsid w:val="00303C46"/>
    <w:rsid w:val="0030412C"/>
    <w:rsid w:val="00304664"/>
    <w:rsid w:val="00304F0E"/>
    <w:rsid w:val="00305581"/>
    <w:rsid w:val="0031118C"/>
    <w:rsid w:val="00322512"/>
    <w:rsid w:val="00324EF0"/>
    <w:rsid w:val="00325F70"/>
    <w:rsid w:val="00330B05"/>
    <w:rsid w:val="00330C1A"/>
    <w:rsid w:val="00331ECD"/>
    <w:rsid w:val="003375A1"/>
    <w:rsid w:val="00337D17"/>
    <w:rsid w:val="0034090D"/>
    <w:rsid w:val="00340B73"/>
    <w:rsid w:val="00343F81"/>
    <w:rsid w:val="003442FE"/>
    <w:rsid w:val="00344807"/>
    <w:rsid w:val="0034664E"/>
    <w:rsid w:val="00354834"/>
    <w:rsid w:val="0036183E"/>
    <w:rsid w:val="003654B8"/>
    <w:rsid w:val="00370843"/>
    <w:rsid w:val="00372CAE"/>
    <w:rsid w:val="00376B85"/>
    <w:rsid w:val="00384203"/>
    <w:rsid w:val="00384349"/>
    <w:rsid w:val="003859DF"/>
    <w:rsid w:val="00393276"/>
    <w:rsid w:val="0039369C"/>
    <w:rsid w:val="00393E7C"/>
    <w:rsid w:val="003969CF"/>
    <w:rsid w:val="003A45E0"/>
    <w:rsid w:val="003B19BC"/>
    <w:rsid w:val="003B47AD"/>
    <w:rsid w:val="003C0091"/>
    <w:rsid w:val="003C02B8"/>
    <w:rsid w:val="003D4B89"/>
    <w:rsid w:val="003D4FD6"/>
    <w:rsid w:val="003D5061"/>
    <w:rsid w:val="003D5A68"/>
    <w:rsid w:val="003E095E"/>
    <w:rsid w:val="0040190C"/>
    <w:rsid w:val="00401972"/>
    <w:rsid w:val="004041E1"/>
    <w:rsid w:val="00404CDF"/>
    <w:rsid w:val="00404DCF"/>
    <w:rsid w:val="00407CAB"/>
    <w:rsid w:val="00412A70"/>
    <w:rsid w:val="004310FC"/>
    <w:rsid w:val="00431E3D"/>
    <w:rsid w:val="0044489A"/>
    <w:rsid w:val="00456F56"/>
    <w:rsid w:val="004617DF"/>
    <w:rsid w:val="004644FB"/>
    <w:rsid w:val="00470CB8"/>
    <w:rsid w:val="00473B2F"/>
    <w:rsid w:val="0047584E"/>
    <w:rsid w:val="00486ACE"/>
    <w:rsid w:val="00491671"/>
    <w:rsid w:val="0049224B"/>
    <w:rsid w:val="004923B7"/>
    <w:rsid w:val="00494CDB"/>
    <w:rsid w:val="004A041F"/>
    <w:rsid w:val="004A0F99"/>
    <w:rsid w:val="004A5D64"/>
    <w:rsid w:val="004B074A"/>
    <w:rsid w:val="004B0795"/>
    <w:rsid w:val="004B3412"/>
    <w:rsid w:val="004B4D35"/>
    <w:rsid w:val="004C0AB4"/>
    <w:rsid w:val="004C1297"/>
    <w:rsid w:val="004C3804"/>
    <w:rsid w:val="004C3E1C"/>
    <w:rsid w:val="004C3E7D"/>
    <w:rsid w:val="004C5F79"/>
    <w:rsid w:val="004C6A8B"/>
    <w:rsid w:val="004D4003"/>
    <w:rsid w:val="004D4E28"/>
    <w:rsid w:val="004E10F0"/>
    <w:rsid w:val="004E2FE2"/>
    <w:rsid w:val="004E3B29"/>
    <w:rsid w:val="004E6607"/>
    <w:rsid w:val="004F3868"/>
    <w:rsid w:val="004F3C25"/>
    <w:rsid w:val="00501264"/>
    <w:rsid w:val="00502BB5"/>
    <w:rsid w:val="005035FE"/>
    <w:rsid w:val="00503814"/>
    <w:rsid w:val="005069B4"/>
    <w:rsid w:val="00506DB3"/>
    <w:rsid w:val="005114FD"/>
    <w:rsid w:val="005138B0"/>
    <w:rsid w:val="005162BA"/>
    <w:rsid w:val="005217E6"/>
    <w:rsid w:val="00523745"/>
    <w:rsid w:val="00524B64"/>
    <w:rsid w:val="005334BE"/>
    <w:rsid w:val="00534BAA"/>
    <w:rsid w:val="00535E46"/>
    <w:rsid w:val="005417FE"/>
    <w:rsid w:val="005452FE"/>
    <w:rsid w:val="00545D73"/>
    <w:rsid w:val="00546B99"/>
    <w:rsid w:val="005570BE"/>
    <w:rsid w:val="00560493"/>
    <w:rsid w:val="00560695"/>
    <w:rsid w:val="005640CE"/>
    <w:rsid w:val="0056446D"/>
    <w:rsid w:val="0057001A"/>
    <w:rsid w:val="00571418"/>
    <w:rsid w:val="00572A63"/>
    <w:rsid w:val="005735E2"/>
    <w:rsid w:val="005767E8"/>
    <w:rsid w:val="00584183"/>
    <w:rsid w:val="005862BF"/>
    <w:rsid w:val="00593EA9"/>
    <w:rsid w:val="0059619D"/>
    <w:rsid w:val="005A1DB3"/>
    <w:rsid w:val="005A4255"/>
    <w:rsid w:val="005A6904"/>
    <w:rsid w:val="005B1E87"/>
    <w:rsid w:val="005B228B"/>
    <w:rsid w:val="005B2CCA"/>
    <w:rsid w:val="005B7DE7"/>
    <w:rsid w:val="005C2C20"/>
    <w:rsid w:val="005C476A"/>
    <w:rsid w:val="005D30C5"/>
    <w:rsid w:val="005D7B2A"/>
    <w:rsid w:val="005E0567"/>
    <w:rsid w:val="005E476A"/>
    <w:rsid w:val="005E504C"/>
    <w:rsid w:val="005E609A"/>
    <w:rsid w:val="005F2360"/>
    <w:rsid w:val="00606E70"/>
    <w:rsid w:val="00612377"/>
    <w:rsid w:val="0061255D"/>
    <w:rsid w:val="00613C67"/>
    <w:rsid w:val="0062418F"/>
    <w:rsid w:val="00626E0D"/>
    <w:rsid w:val="00632FD4"/>
    <w:rsid w:val="00633741"/>
    <w:rsid w:val="00642F05"/>
    <w:rsid w:val="006448E9"/>
    <w:rsid w:val="00645817"/>
    <w:rsid w:val="006549B4"/>
    <w:rsid w:val="00656B9A"/>
    <w:rsid w:val="00661196"/>
    <w:rsid w:val="00666E86"/>
    <w:rsid w:val="006868B5"/>
    <w:rsid w:val="00687B10"/>
    <w:rsid w:val="00696095"/>
    <w:rsid w:val="006A3355"/>
    <w:rsid w:val="006A3541"/>
    <w:rsid w:val="006A59A7"/>
    <w:rsid w:val="006B2547"/>
    <w:rsid w:val="006B5BB6"/>
    <w:rsid w:val="006C4D41"/>
    <w:rsid w:val="006C5A1C"/>
    <w:rsid w:val="006D515E"/>
    <w:rsid w:val="006D5512"/>
    <w:rsid w:val="006D5C71"/>
    <w:rsid w:val="006E1085"/>
    <w:rsid w:val="006E1240"/>
    <w:rsid w:val="006E15EA"/>
    <w:rsid w:val="006E1711"/>
    <w:rsid w:val="006E3059"/>
    <w:rsid w:val="006E418C"/>
    <w:rsid w:val="006E4C24"/>
    <w:rsid w:val="006F59CC"/>
    <w:rsid w:val="00700184"/>
    <w:rsid w:val="00704FC1"/>
    <w:rsid w:val="007052CA"/>
    <w:rsid w:val="0070565E"/>
    <w:rsid w:val="00705EA9"/>
    <w:rsid w:val="00710F49"/>
    <w:rsid w:val="007133A6"/>
    <w:rsid w:val="00717238"/>
    <w:rsid w:val="0071739E"/>
    <w:rsid w:val="00720877"/>
    <w:rsid w:val="00721B51"/>
    <w:rsid w:val="00724B8D"/>
    <w:rsid w:val="0073363B"/>
    <w:rsid w:val="00737F1A"/>
    <w:rsid w:val="00750046"/>
    <w:rsid w:val="00750699"/>
    <w:rsid w:val="00751C14"/>
    <w:rsid w:val="00753D22"/>
    <w:rsid w:val="007653DF"/>
    <w:rsid w:val="00774F15"/>
    <w:rsid w:val="0077708F"/>
    <w:rsid w:val="00777E2D"/>
    <w:rsid w:val="00782B37"/>
    <w:rsid w:val="00783B5F"/>
    <w:rsid w:val="00784933"/>
    <w:rsid w:val="00785277"/>
    <w:rsid w:val="00795D98"/>
    <w:rsid w:val="007A02C0"/>
    <w:rsid w:val="007A0717"/>
    <w:rsid w:val="007A2E51"/>
    <w:rsid w:val="007A34A4"/>
    <w:rsid w:val="007B5BA4"/>
    <w:rsid w:val="007C14BD"/>
    <w:rsid w:val="007C1AF1"/>
    <w:rsid w:val="007C31B4"/>
    <w:rsid w:val="007C4AC1"/>
    <w:rsid w:val="007C6851"/>
    <w:rsid w:val="007C690F"/>
    <w:rsid w:val="007D155E"/>
    <w:rsid w:val="007D262B"/>
    <w:rsid w:val="007D271F"/>
    <w:rsid w:val="007E010A"/>
    <w:rsid w:val="007E5778"/>
    <w:rsid w:val="007E62D6"/>
    <w:rsid w:val="007E655F"/>
    <w:rsid w:val="007F4C4E"/>
    <w:rsid w:val="007F5840"/>
    <w:rsid w:val="007F777F"/>
    <w:rsid w:val="007F7968"/>
    <w:rsid w:val="007F7D1D"/>
    <w:rsid w:val="00801820"/>
    <w:rsid w:val="00804173"/>
    <w:rsid w:val="008041D7"/>
    <w:rsid w:val="00805F35"/>
    <w:rsid w:val="00810B7C"/>
    <w:rsid w:val="008134E4"/>
    <w:rsid w:val="00813A23"/>
    <w:rsid w:val="008169FD"/>
    <w:rsid w:val="008341E3"/>
    <w:rsid w:val="0084144C"/>
    <w:rsid w:val="00841818"/>
    <w:rsid w:val="008422B7"/>
    <w:rsid w:val="00842609"/>
    <w:rsid w:val="00843390"/>
    <w:rsid w:val="00843B12"/>
    <w:rsid w:val="008536BF"/>
    <w:rsid w:val="00857D08"/>
    <w:rsid w:val="00860026"/>
    <w:rsid w:val="008614BB"/>
    <w:rsid w:val="008664F7"/>
    <w:rsid w:val="0087058D"/>
    <w:rsid w:val="00870F11"/>
    <w:rsid w:val="00872264"/>
    <w:rsid w:val="00880921"/>
    <w:rsid w:val="0088224D"/>
    <w:rsid w:val="0088494F"/>
    <w:rsid w:val="008910E7"/>
    <w:rsid w:val="008921F0"/>
    <w:rsid w:val="00892D4B"/>
    <w:rsid w:val="008A2837"/>
    <w:rsid w:val="008B1192"/>
    <w:rsid w:val="008B7182"/>
    <w:rsid w:val="008C6D4C"/>
    <w:rsid w:val="008D0480"/>
    <w:rsid w:val="008D0BD5"/>
    <w:rsid w:val="008D5B08"/>
    <w:rsid w:val="008E3BD7"/>
    <w:rsid w:val="008F3234"/>
    <w:rsid w:val="008F5EC8"/>
    <w:rsid w:val="00902A19"/>
    <w:rsid w:val="00910843"/>
    <w:rsid w:val="00914455"/>
    <w:rsid w:val="00915E6E"/>
    <w:rsid w:val="00923C22"/>
    <w:rsid w:val="0092468D"/>
    <w:rsid w:val="009305E5"/>
    <w:rsid w:val="00932410"/>
    <w:rsid w:val="00932630"/>
    <w:rsid w:val="00934C0E"/>
    <w:rsid w:val="00935887"/>
    <w:rsid w:val="00937E88"/>
    <w:rsid w:val="0094472C"/>
    <w:rsid w:val="00950292"/>
    <w:rsid w:val="009510F2"/>
    <w:rsid w:val="00951979"/>
    <w:rsid w:val="00953A19"/>
    <w:rsid w:val="00956160"/>
    <w:rsid w:val="00972395"/>
    <w:rsid w:val="00975668"/>
    <w:rsid w:val="0099514D"/>
    <w:rsid w:val="009A00B1"/>
    <w:rsid w:val="009A32D2"/>
    <w:rsid w:val="009A3CAD"/>
    <w:rsid w:val="009A7EE8"/>
    <w:rsid w:val="009B4F35"/>
    <w:rsid w:val="009C2423"/>
    <w:rsid w:val="009C5A38"/>
    <w:rsid w:val="009D192A"/>
    <w:rsid w:val="009D5CF9"/>
    <w:rsid w:val="009D7443"/>
    <w:rsid w:val="009E6683"/>
    <w:rsid w:val="009E69BF"/>
    <w:rsid w:val="009E7467"/>
    <w:rsid w:val="009F1247"/>
    <w:rsid w:val="009F1321"/>
    <w:rsid w:val="009F1DE6"/>
    <w:rsid w:val="009F4A3A"/>
    <w:rsid w:val="009F6499"/>
    <w:rsid w:val="009F7A07"/>
    <w:rsid w:val="00A0179C"/>
    <w:rsid w:val="00A06E67"/>
    <w:rsid w:val="00A101D6"/>
    <w:rsid w:val="00A11C12"/>
    <w:rsid w:val="00A160FB"/>
    <w:rsid w:val="00A22E50"/>
    <w:rsid w:val="00A23C1F"/>
    <w:rsid w:val="00A356DC"/>
    <w:rsid w:val="00A37999"/>
    <w:rsid w:val="00A41B41"/>
    <w:rsid w:val="00A44BF9"/>
    <w:rsid w:val="00A50A34"/>
    <w:rsid w:val="00A51298"/>
    <w:rsid w:val="00A51C44"/>
    <w:rsid w:val="00A5265F"/>
    <w:rsid w:val="00A5423D"/>
    <w:rsid w:val="00A5485B"/>
    <w:rsid w:val="00A55F72"/>
    <w:rsid w:val="00A577DA"/>
    <w:rsid w:val="00A5787E"/>
    <w:rsid w:val="00A607E0"/>
    <w:rsid w:val="00A6617E"/>
    <w:rsid w:val="00A67683"/>
    <w:rsid w:val="00A70B3B"/>
    <w:rsid w:val="00A722A3"/>
    <w:rsid w:val="00A733BE"/>
    <w:rsid w:val="00A73C35"/>
    <w:rsid w:val="00A772A7"/>
    <w:rsid w:val="00A77D69"/>
    <w:rsid w:val="00A81CED"/>
    <w:rsid w:val="00A8483F"/>
    <w:rsid w:val="00A8625B"/>
    <w:rsid w:val="00A91F10"/>
    <w:rsid w:val="00A926C1"/>
    <w:rsid w:val="00A92C15"/>
    <w:rsid w:val="00A95874"/>
    <w:rsid w:val="00AA7836"/>
    <w:rsid w:val="00AB1C3C"/>
    <w:rsid w:val="00AC4FE2"/>
    <w:rsid w:val="00AC5E40"/>
    <w:rsid w:val="00AC663E"/>
    <w:rsid w:val="00AD0E6D"/>
    <w:rsid w:val="00AD63FD"/>
    <w:rsid w:val="00AD6986"/>
    <w:rsid w:val="00AE1DCF"/>
    <w:rsid w:val="00AE4EA0"/>
    <w:rsid w:val="00AF220E"/>
    <w:rsid w:val="00AF2934"/>
    <w:rsid w:val="00AF5520"/>
    <w:rsid w:val="00AF5670"/>
    <w:rsid w:val="00AF6B84"/>
    <w:rsid w:val="00B00873"/>
    <w:rsid w:val="00B03A61"/>
    <w:rsid w:val="00B04857"/>
    <w:rsid w:val="00B05A76"/>
    <w:rsid w:val="00B10DD9"/>
    <w:rsid w:val="00B11778"/>
    <w:rsid w:val="00B13878"/>
    <w:rsid w:val="00B146F5"/>
    <w:rsid w:val="00B16A50"/>
    <w:rsid w:val="00B17E17"/>
    <w:rsid w:val="00B20B8A"/>
    <w:rsid w:val="00B2104E"/>
    <w:rsid w:val="00B25B8F"/>
    <w:rsid w:val="00B3486D"/>
    <w:rsid w:val="00B34ACD"/>
    <w:rsid w:val="00B367CA"/>
    <w:rsid w:val="00B37732"/>
    <w:rsid w:val="00B42376"/>
    <w:rsid w:val="00B423F5"/>
    <w:rsid w:val="00B42C2A"/>
    <w:rsid w:val="00B51DE9"/>
    <w:rsid w:val="00B530E3"/>
    <w:rsid w:val="00B5749A"/>
    <w:rsid w:val="00B61CA7"/>
    <w:rsid w:val="00B66A7C"/>
    <w:rsid w:val="00B66E8C"/>
    <w:rsid w:val="00B70F90"/>
    <w:rsid w:val="00B74425"/>
    <w:rsid w:val="00B77E6E"/>
    <w:rsid w:val="00B86120"/>
    <w:rsid w:val="00BA00B1"/>
    <w:rsid w:val="00BA1A6B"/>
    <w:rsid w:val="00BA45DF"/>
    <w:rsid w:val="00BA71D1"/>
    <w:rsid w:val="00BB56D5"/>
    <w:rsid w:val="00BB76FA"/>
    <w:rsid w:val="00BB7BA7"/>
    <w:rsid w:val="00BC0376"/>
    <w:rsid w:val="00BC06F3"/>
    <w:rsid w:val="00BC092D"/>
    <w:rsid w:val="00BC4293"/>
    <w:rsid w:val="00BC53B4"/>
    <w:rsid w:val="00BC6065"/>
    <w:rsid w:val="00BC6A65"/>
    <w:rsid w:val="00BC71CF"/>
    <w:rsid w:val="00BD195C"/>
    <w:rsid w:val="00BD557F"/>
    <w:rsid w:val="00BE2292"/>
    <w:rsid w:val="00BE6D6D"/>
    <w:rsid w:val="00BF63EB"/>
    <w:rsid w:val="00C061D1"/>
    <w:rsid w:val="00C10246"/>
    <w:rsid w:val="00C114A1"/>
    <w:rsid w:val="00C12B92"/>
    <w:rsid w:val="00C15022"/>
    <w:rsid w:val="00C177D4"/>
    <w:rsid w:val="00C252A6"/>
    <w:rsid w:val="00C3140B"/>
    <w:rsid w:val="00C34680"/>
    <w:rsid w:val="00C35856"/>
    <w:rsid w:val="00C36063"/>
    <w:rsid w:val="00C40E2F"/>
    <w:rsid w:val="00C45778"/>
    <w:rsid w:val="00C52170"/>
    <w:rsid w:val="00C5719D"/>
    <w:rsid w:val="00C60A3A"/>
    <w:rsid w:val="00C60C99"/>
    <w:rsid w:val="00C62518"/>
    <w:rsid w:val="00C63186"/>
    <w:rsid w:val="00C64D80"/>
    <w:rsid w:val="00C77A03"/>
    <w:rsid w:val="00C84CE4"/>
    <w:rsid w:val="00C85541"/>
    <w:rsid w:val="00C8560B"/>
    <w:rsid w:val="00C85BEB"/>
    <w:rsid w:val="00C93274"/>
    <w:rsid w:val="00C963F6"/>
    <w:rsid w:val="00C9671F"/>
    <w:rsid w:val="00CA19FC"/>
    <w:rsid w:val="00CA23CF"/>
    <w:rsid w:val="00CA3F82"/>
    <w:rsid w:val="00CA4324"/>
    <w:rsid w:val="00CB0442"/>
    <w:rsid w:val="00CB06D0"/>
    <w:rsid w:val="00CB3E16"/>
    <w:rsid w:val="00CB4DC3"/>
    <w:rsid w:val="00CB5485"/>
    <w:rsid w:val="00CC0E7E"/>
    <w:rsid w:val="00CC2CCA"/>
    <w:rsid w:val="00CC5051"/>
    <w:rsid w:val="00CC58BD"/>
    <w:rsid w:val="00CC5F13"/>
    <w:rsid w:val="00CC5FE6"/>
    <w:rsid w:val="00CD1DFF"/>
    <w:rsid w:val="00CE01A0"/>
    <w:rsid w:val="00CE4024"/>
    <w:rsid w:val="00CF26F2"/>
    <w:rsid w:val="00CF406A"/>
    <w:rsid w:val="00CF445C"/>
    <w:rsid w:val="00D03842"/>
    <w:rsid w:val="00D11A4C"/>
    <w:rsid w:val="00D137AE"/>
    <w:rsid w:val="00D143BC"/>
    <w:rsid w:val="00D16B89"/>
    <w:rsid w:val="00D17B91"/>
    <w:rsid w:val="00D203A9"/>
    <w:rsid w:val="00D20B0D"/>
    <w:rsid w:val="00D21359"/>
    <w:rsid w:val="00D22E81"/>
    <w:rsid w:val="00D2583B"/>
    <w:rsid w:val="00D264C4"/>
    <w:rsid w:val="00D31B1A"/>
    <w:rsid w:val="00D321A3"/>
    <w:rsid w:val="00D34B5E"/>
    <w:rsid w:val="00D3601E"/>
    <w:rsid w:val="00D416BD"/>
    <w:rsid w:val="00D41C34"/>
    <w:rsid w:val="00D56DF9"/>
    <w:rsid w:val="00D623A2"/>
    <w:rsid w:val="00D649BD"/>
    <w:rsid w:val="00D666CE"/>
    <w:rsid w:val="00D81959"/>
    <w:rsid w:val="00D82F94"/>
    <w:rsid w:val="00D83CF3"/>
    <w:rsid w:val="00D90E3F"/>
    <w:rsid w:val="00DA3440"/>
    <w:rsid w:val="00DB14BE"/>
    <w:rsid w:val="00DB2D0E"/>
    <w:rsid w:val="00DB470A"/>
    <w:rsid w:val="00DC157E"/>
    <w:rsid w:val="00DD2891"/>
    <w:rsid w:val="00DE1671"/>
    <w:rsid w:val="00DE1AE7"/>
    <w:rsid w:val="00DE6367"/>
    <w:rsid w:val="00DE764E"/>
    <w:rsid w:val="00DF292D"/>
    <w:rsid w:val="00DF2A9A"/>
    <w:rsid w:val="00DF2F6A"/>
    <w:rsid w:val="00DF554A"/>
    <w:rsid w:val="00E019B8"/>
    <w:rsid w:val="00E02D84"/>
    <w:rsid w:val="00E04F69"/>
    <w:rsid w:val="00E0688A"/>
    <w:rsid w:val="00E12BCC"/>
    <w:rsid w:val="00E153C5"/>
    <w:rsid w:val="00E2625E"/>
    <w:rsid w:val="00E27DAA"/>
    <w:rsid w:val="00E319FD"/>
    <w:rsid w:val="00E32290"/>
    <w:rsid w:val="00E32379"/>
    <w:rsid w:val="00E33B19"/>
    <w:rsid w:val="00E41FC6"/>
    <w:rsid w:val="00E42227"/>
    <w:rsid w:val="00E4296E"/>
    <w:rsid w:val="00E42FD5"/>
    <w:rsid w:val="00E50874"/>
    <w:rsid w:val="00E52655"/>
    <w:rsid w:val="00E53C9F"/>
    <w:rsid w:val="00E5786D"/>
    <w:rsid w:val="00E57941"/>
    <w:rsid w:val="00E60374"/>
    <w:rsid w:val="00E624AC"/>
    <w:rsid w:val="00E6321D"/>
    <w:rsid w:val="00E64EB9"/>
    <w:rsid w:val="00E65C8F"/>
    <w:rsid w:val="00E66F51"/>
    <w:rsid w:val="00E7540B"/>
    <w:rsid w:val="00E75492"/>
    <w:rsid w:val="00E761E1"/>
    <w:rsid w:val="00E80745"/>
    <w:rsid w:val="00E84D4B"/>
    <w:rsid w:val="00E872D1"/>
    <w:rsid w:val="00E902A8"/>
    <w:rsid w:val="00E938ED"/>
    <w:rsid w:val="00EA654B"/>
    <w:rsid w:val="00EB6621"/>
    <w:rsid w:val="00EB6AB8"/>
    <w:rsid w:val="00EB7118"/>
    <w:rsid w:val="00EB7398"/>
    <w:rsid w:val="00EB75F0"/>
    <w:rsid w:val="00EC00F2"/>
    <w:rsid w:val="00EC4B77"/>
    <w:rsid w:val="00EC63D7"/>
    <w:rsid w:val="00ED63FC"/>
    <w:rsid w:val="00EE0D79"/>
    <w:rsid w:val="00EE1E97"/>
    <w:rsid w:val="00EE72EB"/>
    <w:rsid w:val="00EF1123"/>
    <w:rsid w:val="00F12A9B"/>
    <w:rsid w:val="00F1330C"/>
    <w:rsid w:val="00F13F1C"/>
    <w:rsid w:val="00F16670"/>
    <w:rsid w:val="00F272EA"/>
    <w:rsid w:val="00F276EE"/>
    <w:rsid w:val="00F32F64"/>
    <w:rsid w:val="00F44BF6"/>
    <w:rsid w:val="00F44E38"/>
    <w:rsid w:val="00F46928"/>
    <w:rsid w:val="00F504CB"/>
    <w:rsid w:val="00F52F48"/>
    <w:rsid w:val="00F546E6"/>
    <w:rsid w:val="00F561ED"/>
    <w:rsid w:val="00F5735C"/>
    <w:rsid w:val="00F604A9"/>
    <w:rsid w:val="00F64B7C"/>
    <w:rsid w:val="00F71088"/>
    <w:rsid w:val="00F7114D"/>
    <w:rsid w:val="00F72110"/>
    <w:rsid w:val="00F72468"/>
    <w:rsid w:val="00F74C86"/>
    <w:rsid w:val="00F805C7"/>
    <w:rsid w:val="00F81BB5"/>
    <w:rsid w:val="00F861F8"/>
    <w:rsid w:val="00F9050A"/>
    <w:rsid w:val="00F9093C"/>
    <w:rsid w:val="00F9230B"/>
    <w:rsid w:val="00F946A5"/>
    <w:rsid w:val="00FA5CE2"/>
    <w:rsid w:val="00FB2B9B"/>
    <w:rsid w:val="00FB777F"/>
    <w:rsid w:val="00FC16BC"/>
    <w:rsid w:val="00FC1C86"/>
    <w:rsid w:val="00FC28A0"/>
    <w:rsid w:val="00FD3F15"/>
    <w:rsid w:val="00FD4035"/>
    <w:rsid w:val="00FD5214"/>
    <w:rsid w:val="00FE6FD9"/>
    <w:rsid w:val="015F2A26"/>
    <w:rsid w:val="01B906BA"/>
    <w:rsid w:val="021901F8"/>
    <w:rsid w:val="02702487"/>
    <w:rsid w:val="027523A8"/>
    <w:rsid w:val="0289186E"/>
    <w:rsid w:val="02E71625"/>
    <w:rsid w:val="02E77013"/>
    <w:rsid w:val="03187D2B"/>
    <w:rsid w:val="03467461"/>
    <w:rsid w:val="03EE120F"/>
    <w:rsid w:val="046A4442"/>
    <w:rsid w:val="05452516"/>
    <w:rsid w:val="058516CB"/>
    <w:rsid w:val="05AC36A6"/>
    <w:rsid w:val="05C03125"/>
    <w:rsid w:val="05D24BE0"/>
    <w:rsid w:val="06AA6454"/>
    <w:rsid w:val="06BA2C09"/>
    <w:rsid w:val="06E10B6C"/>
    <w:rsid w:val="07257573"/>
    <w:rsid w:val="07571D5C"/>
    <w:rsid w:val="075821B1"/>
    <w:rsid w:val="07885DBD"/>
    <w:rsid w:val="07A546DF"/>
    <w:rsid w:val="07AE12DC"/>
    <w:rsid w:val="07BE0AFF"/>
    <w:rsid w:val="07EC14FB"/>
    <w:rsid w:val="08856C7F"/>
    <w:rsid w:val="08C10BC5"/>
    <w:rsid w:val="091311B5"/>
    <w:rsid w:val="09134A52"/>
    <w:rsid w:val="09705ABB"/>
    <w:rsid w:val="09C777FE"/>
    <w:rsid w:val="09D87023"/>
    <w:rsid w:val="0A1F11D0"/>
    <w:rsid w:val="0A595FCA"/>
    <w:rsid w:val="0A775565"/>
    <w:rsid w:val="0A932B09"/>
    <w:rsid w:val="0ABB6689"/>
    <w:rsid w:val="0ACC0F97"/>
    <w:rsid w:val="0AE41ED9"/>
    <w:rsid w:val="0B3C5609"/>
    <w:rsid w:val="0B8D45AC"/>
    <w:rsid w:val="0BE92B75"/>
    <w:rsid w:val="0C285DCC"/>
    <w:rsid w:val="0C420A60"/>
    <w:rsid w:val="0C4D3A71"/>
    <w:rsid w:val="0D232EEB"/>
    <w:rsid w:val="0D3869C0"/>
    <w:rsid w:val="0D555731"/>
    <w:rsid w:val="0DC35A6F"/>
    <w:rsid w:val="0E20421B"/>
    <w:rsid w:val="0E4D17DB"/>
    <w:rsid w:val="0E5D52EE"/>
    <w:rsid w:val="0E97018F"/>
    <w:rsid w:val="0ED16EA9"/>
    <w:rsid w:val="0EF65B37"/>
    <w:rsid w:val="0F66170A"/>
    <w:rsid w:val="10A90165"/>
    <w:rsid w:val="10AF3312"/>
    <w:rsid w:val="1103624E"/>
    <w:rsid w:val="114C7ED7"/>
    <w:rsid w:val="1177267B"/>
    <w:rsid w:val="11DF320E"/>
    <w:rsid w:val="11ED4690"/>
    <w:rsid w:val="12696435"/>
    <w:rsid w:val="12993165"/>
    <w:rsid w:val="12F12A83"/>
    <w:rsid w:val="13694FD8"/>
    <w:rsid w:val="1392574A"/>
    <w:rsid w:val="13A03FCA"/>
    <w:rsid w:val="14854E6A"/>
    <w:rsid w:val="14A56334"/>
    <w:rsid w:val="14AA585E"/>
    <w:rsid w:val="14EE6080"/>
    <w:rsid w:val="151C6B17"/>
    <w:rsid w:val="15326925"/>
    <w:rsid w:val="159A0F42"/>
    <w:rsid w:val="159E3374"/>
    <w:rsid w:val="15E54715"/>
    <w:rsid w:val="15EE28FA"/>
    <w:rsid w:val="16424833"/>
    <w:rsid w:val="16655239"/>
    <w:rsid w:val="16A03B21"/>
    <w:rsid w:val="173B0AC1"/>
    <w:rsid w:val="174816D4"/>
    <w:rsid w:val="175B10A7"/>
    <w:rsid w:val="175E1A13"/>
    <w:rsid w:val="179D5FAD"/>
    <w:rsid w:val="17C14D25"/>
    <w:rsid w:val="181142F2"/>
    <w:rsid w:val="183434C8"/>
    <w:rsid w:val="1839554D"/>
    <w:rsid w:val="183F1108"/>
    <w:rsid w:val="18B72532"/>
    <w:rsid w:val="19015AD3"/>
    <w:rsid w:val="1902165A"/>
    <w:rsid w:val="19BB63CF"/>
    <w:rsid w:val="1A0A686C"/>
    <w:rsid w:val="1A173A88"/>
    <w:rsid w:val="1A44159C"/>
    <w:rsid w:val="1A450EA5"/>
    <w:rsid w:val="1A5C11C6"/>
    <w:rsid w:val="1A63647B"/>
    <w:rsid w:val="1AB50197"/>
    <w:rsid w:val="1B1A5797"/>
    <w:rsid w:val="1BD81C5A"/>
    <w:rsid w:val="1C202ADC"/>
    <w:rsid w:val="1C3E25FD"/>
    <w:rsid w:val="1C6012CE"/>
    <w:rsid w:val="1CF162D5"/>
    <w:rsid w:val="1CF6469D"/>
    <w:rsid w:val="1CFB6F10"/>
    <w:rsid w:val="1D0431B8"/>
    <w:rsid w:val="1D647F36"/>
    <w:rsid w:val="1E0662C7"/>
    <w:rsid w:val="1E374E58"/>
    <w:rsid w:val="1EDA22BB"/>
    <w:rsid w:val="1F612BC8"/>
    <w:rsid w:val="1F7B5B5D"/>
    <w:rsid w:val="1FC93207"/>
    <w:rsid w:val="201275C6"/>
    <w:rsid w:val="204326DE"/>
    <w:rsid w:val="209B79BC"/>
    <w:rsid w:val="20A363DE"/>
    <w:rsid w:val="20D31BE7"/>
    <w:rsid w:val="21376412"/>
    <w:rsid w:val="216D629C"/>
    <w:rsid w:val="22293529"/>
    <w:rsid w:val="22380FB2"/>
    <w:rsid w:val="22E26426"/>
    <w:rsid w:val="23507EEB"/>
    <w:rsid w:val="235A7532"/>
    <w:rsid w:val="23B44341"/>
    <w:rsid w:val="23DE524B"/>
    <w:rsid w:val="241D0429"/>
    <w:rsid w:val="2431504C"/>
    <w:rsid w:val="246E6143"/>
    <w:rsid w:val="24AA0AEA"/>
    <w:rsid w:val="24B7073B"/>
    <w:rsid w:val="24E6050A"/>
    <w:rsid w:val="25090683"/>
    <w:rsid w:val="252054AD"/>
    <w:rsid w:val="25A16A28"/>
    <w:rsid w:val="25A701BD"/>
    <w:rsid w:val="25BA067C"/>
    <w:rsid w:val="25DC61FA"/>
    <w:rsid w:val="26261EFF"/>
    <w:rsid w:val="266851EC"/>
    <w:rsid w:val="26B755DA"/>
    <w:rsid w:val="26B81095"/>
    <w:rsid w:val="27206A60"/>
    <w:rsid w:val="272D394A"/>
    <w:rsid w:val="274A3F99"/>
    <w:rsid w:val="27724FAE"/>
    <w:rsid w:val="28BA5AF7"/>
    <w:rsid w:val="299048FC"/>
    <w:rsid w:val="29D61B4A"/>
    <w:rsid w:val="2A0274A1"/>
    <w:rsid w:val="2A59426F"/>
    <w:rsid w:val="2ACE66F7"/>
    <w:rsid w:val="2AD8484A"/>
    <w:rsid w:val="2AE53717"/>
    <w:rsid w:val="2B001894"/>
    <w:rsid w:val="2B2A2D27"/>
    <w:rsid w:val="2B634D16"/>
    <w:rsid w:val="2B7C1868"/>
    <w:rsid w:val="2C1B002A"/>
    <w:rsid w:val="2C430EB0"/>
    <w:rsid w:val="2C8F6EF5"/>
    <w:rsid w:val="2C9E2DFF"/>
    <w:rsid w:val="2CBE1D13"/>
    <w:rsid w:val="2CDE1AB6"/>
    <w:rsid w:val="2CFF1542"/>
    <w:rsid w:val="2DF40C8A"/>
    <w:rsid w:val="2E1E041C"/>
    <w:rsid w:val="2ECD470A"/>
    <w:rsid w:val="2ECF13E8"/>
    <w:rsid w:val="2F230430"/>
    <w:rsid w:val="2F2F5416"/>
    <w:rsid w:val="2F493437"/>
    <w:rsid w:val="2F4C567A"/>
    <w:rsid w:val="2F596C74"/>
    <w:rsid w:val="2F5F19AA"/>
    <w:rsid w:val="2FA77C26"/>
    <w:rsid w:val="30056A1D"/>
    <w:rsid w:val="30A60F0C"/>
    <w:rsid w:val="30FA51DD"/>
    <w:rsid w:val="31101477"/>
    <w:rsid w:val="31250D2E"/>
    <w:rsid w:val="313D154E"/>
    <w:rsid w:val="314079FE"/>
    <w:rsid w:val="31745523"/>
    <w:rsid w:val="3176649D"/>
    <w:rsid w:val="3183185A"/>
    <w:rsid w:val="31ED405A"/>
    <w:rsid w:val="326C7DC5"/>
    <w:rsid w:val="33042AB4"/>
    <w:rsid w:val="338A73BF"/>
    <w:rsid w:val="33B2795E"/>
    <w:rsid w:val="34311DFB"/>
    <w:rsid w:val="3487785C"/>
    <w:rsid w:val="34EF05EF"/>
    <w:rsid w:val="3500778A"/>
    <w:rsid w:val="35267221"/>
    <w:rsid w:val="35267D08"/>
    <w:rsid w:val="35586E19"/>
    <w:rsid w:val="35720FF9"/>
    <w:rsid w:val="35813D6B"/>
    <w:rsid w:val="369D6D68"/>
    <w:rsid w:val="36A7440A"/>
    <w:rsid w:val="36DC093E"/>
    <w:rsid w:val="36F46AEA"/>
    <w:rsid w:val="36FD32A7"/>
    <w:rsid w:val="371C5FDB"/>
    <w:rsid w:val="372F1BA3"/>
    <w:rsid w:val="37497040"/>
    <w:rsid w:val="380C4EBD"/>
    <w:rsid w:val="38195916"/>
    <w:rsid w:val="383D7528"/>
    <w:rsid w:val="38842FD4"/>
    <w:rsid w:val="38AE0145"/>
    <w:rsid w:val="38D65E60"/>
    <w:rsid w:val="38EE4915"/>
    <w:rsid w:val="38FE2229"/>
    <w:rsid w:val="38FF0428"/>
    <w:rsid w:val="39E44708"/>
    <w:rsid w:val="39EF5CB1"/>
    <w:rsid w:val="3A1A3D1D"/>
    <w:rsid w:val="3AA274B5"/>
    <w:rsid w:val="3AF371A2"/>
    <w:rsid w:val="3B3F72A6"/>
    <w:rsid w:val="3BA977CA"/>
    <w:rsid w:val="3BCA6280"/>
    <w:rsid w:val="3BCF7C7B"/>
    <w:rsid w:val="3C090D43"/>
    <w:rsid w:val="3C5C3368"/>
    <w:rsid w:val="3D291A60"/>
    <w:rsid w:val="3D501B6B"/>
    <w:rsid w:val="3D724C6A"/>
    <w:rsid w:val="3E147753"/>
    <w:rsid w:val="3E545984"/>
    <w:rsid w:val="3E8C592F"/>
    <w:rsid w:val="3F244642"/>
    <w:rsid w:val="3F294A0D"/>
    <w:rsid w:val="3F494CDF"/>
    <w:rsid w:val="3F4C0E83"/>
    <w:rsid w:val="3F7D0878"/>
    <w:rsid w:val="3FA241BB"/>
    <w:rsid w:val="3FD266D2"/>
    <w:rsid w:val="3FEB0469"/>
    <w:rsid w:val="40413917"/>
    <w:rsid w:val="40415624"/>
    <w:rsid w:val="407667BD"/>
    <w:rsid w:val="40C1726E"/>
    <w:rsid w:val="40DB7E10"/>
    <w:rsid w:val="411E52CC"/>
    <w:rsid w:val="41561AAF"/>
    <w:rsid w:val="41775045"/>
    <w:rsid w:val="418A794F"/>
    <w:rsid w:val="41A120F1"/>
    <w:rsid w:val="42383924"/>
    <w:rsid w:val="4252216C"/>
    <w:rsid w:val="426474DD"/>
    <w:rsid w:val="434249AA"/>
    <w:rsid w:val="43454272"/>
    <w:rsid w:val="4362092C"/>
    <w:rsid w:val="43BB3EF1"/>
    <w:rsid w:val="43F650B5"/>
    <w:rsid w:val="449105DD"/>
    <w:rsid w:val="44FD3249"/>
    <w:rsid w:val="454F0BDD"/>
    <w:rsid w:val="46AF3569"/>
    <w:rsid w:val="46D229A8"/>
    <w:rsid w:val="46FE4F5A"/>
    <w:rsid w:val="47120F5C"/>
    <w:rsid w:val="47262422"/>
    <w:rsid w:val="47367DDE"/>
    <w:rsid w:val="477E1E3A"/>
    <w:rsid w:val="47D65A42"/>
    <w:rsid w:val="49443A96"/>
    <w:rsid w:val="498B03D6"/>
    <w:rsid w:val="498D1941"/>
    <w:rsid w:val="49B154C3"/>
    <w:rsid w:val="49BB4FFF"/>
    <w:rsid w:val="49DB5A8C"/>
    <w:rsid w:val="49E144A6"/>
    <w:rsid w:val="4A28512A"/>
    <w:rsid w:val="4A435BBF"/>
    <w:rsid w:val="4AA64801"/>
    <w:rsid w:val="4AAB30E5"/>
    <w:rsid w:val="4ACA7C75"/>
    <w:rsid w:val="4B48177E"/>
    <w:rsid w:val="4B561172"/>
    <w:rsid w:val="4B6E5B65"/>
    <w:rsid w:val="4BA70918"/>
    <w:rsid w:val="4BDD2FB0"/>
    <w:rsid w:val="4BE27AF1"/>
    <w:rsid w:val="4C075219"/>
    <w:rsid w:val="4C1F6DD1"/>
    <w:rsid w:val="4C50394D"/>
    <w:rsid w:val="4C5A281D"/>
    <w:rsid w:val="4C8D0DE7"/>
    <w:rsid w:val="4C99274C"/>
    <w:rsid w:val="4CB41385"/>
    <w:rsid w:val="4CDF7111"/>
    <w:rsid w:val="4CEA617A"/>
    <w:rsid w:val="4D061911"/>
    <w:rsid w:val="4D161F8C"/>
    <w:rsid w:val="4D43735B"/>
    <w:rsid w:val="4D653B2D"/>
    <w:rsid w:val="4D8A037C"/>
    <w:rsid w:val="4DB71BF7"/>
    <w:rsid w:val="4E005311"/>
    <w:rsid w:val="4E0915E5"/>
    <w:rsid w:val="4E210FE2"/>
    <w:rsid w:val="4E467297"/>
    <w:rsid w:val="4EB44EA2"/>
    <w:rsid w:val="4EBF31DC"/>
    <w:rsid w:val="4ECD47FF"/>
    <w:rsid w:val="4F3639FF"/>
    <w:rsid w:val="4F666078"/>
    <w:rsid w:val="4F7553B0"/>
    <w:rsid w:val="4FA21F6F"/>
    <w:rsid w:val="4FF113D2"/>
    <w:rsid w:val="50501C0B"/>
    <w:rsid w:val="50B07E79"/>
    <w:rsid w:val="5148253E"/>
    <w:rsid w:val="51C24352"/>
    <w:rsid w:val="51DF444C"/>
    <w:rsid w:val="52702E20"/>
    <w:rsid w:val="528F1983"/>
    <w:rsid w:val="53551AB5"/>
    <w:rsid w:val="53565D2E"/>
    <w:rsid w:val="53B40E72"/>
    <w:rsid w:val="53BE4A60"/>
    <w:rsid w:val="53CA3262"/>
    <w:rsid w:val="53DD4E4C"/>
    <w:rsid w:val="5400149C"/>
    <w:rsid w:val="54064AF0"/>
    <w:rsid w:val="54320A74"/>
    <w:rsid w:val="543F1436"/>
    <w:rsid w:val="548A29C2"/>
    <w:rsid w:val="54E72A12"/>
    <w:rsid w:val="55115DD3"/>
    <w:rsid w:val="552B286B"/>
    <w:rsid w:val="553D037A"/>
    <w:rsid w:val="55420CE1"/>
    <w:rsid w:val="55CE6362"/>
    <w:rsid w:val="560C5554"/>
    <w:rsid w:val="56B91D4F"/>
    <w:rsid w:val="572E7C0C"/>
    <w:rsid w:val="577B5A38"/>
    <w:rsid w:val="57F858DB"/>
    <w:rsid w:val="58423A05"/>
    <w:rsid w:val="58702B83"/>
    <w:rsid w:val="58DC38EE"/>
    <w:rsid w:val="58F4557B"/>
    <w:rsid w:val="58F535EB"/>
    <w:rsid w:val="58FF5077"/>
    <w:rsid w:val="59662767"/>
    <w:rsid w:val="59D22D02"/>
    <w:rsid w:val="59DF4F78"/>
    <w:rsid w:val="59E32171"/>
    <w:rsid w:val="59FB1EE6"/>
    <w:rsid w:val="5A392048"/>
    <w:rsid w:val="5A6275A4"/>
    <w:rsid w:val="5AC32EC5"/>
    <w:rsid w:val="5B3041A8"/>
    <w:rsid w:val="5B893BC5"/>
    <w:rsid w:val="5BD22EA7"/>
    <w:rsid w:val="5BF23F4D"/>
    <w:rsid w:val="5C416A60"/>
    <w:rsid w:val="5C4C5931"/>
    <w:rsid w:val="5C613EE7"/>
    <w:rsid w:val="5CB4540C"/>
    <w:rsid w:val="5CC73D84"/>
    <w:rsid w:val="5D6455E8"/>
    <w:rsid w:val="5D9839BA"/>
    <w:rsid w:val="5DCF622B"/>
    <w:rsid w:val="5DD027F4"/>
    <w:rsid w:val="5DFB1E55"/>
    <w:rsid w:val="5E7166BE"/>
    <w:rsid w:val="5ECA3330"/>
    <w:rsid w:val="5FA244C8"/>
    <w:rsid w:val="600C239D"/>
    <w:rsid w:val="60606E10"/>
    <w:rsid w:val="60C10404"/>
    <w:rsid w:val="60F3182C"/>
    <w:rsid w:val="61066809"/>
    <w:rsid w:val="61264340"/>
    <w:rsid w:val="6152132C"/>
    <w:rsid w:val="6154631D"/>
    <w:rsid w:val="617C26E1"/>
    <w:rsid w:val="61C90800"/>
    <w:rsid w:val="623601B5"/>
    <w:rsid w:val="62615AEA"/>
    <w:rsid w:val="626636FA"/>
    <w:rsid w:val="62D87D9E"/>
    <w:rsid w:val="636A042B"/>
    <w:rsid w:val="6381680D"/>
    <w:rsid w:val="63816FE1"/>
    <w:rsid w:val="63B33A54"/>
    <w:rsid w:val="63D76EA0"/>
    <w:rsid w:val="640F1396"/>
    <w:rsid w:val="6419402B"/>
    <w:rsid w:val="641F0678"/>
    <w:rsid w:val="64242684"/>
    <w:rsid w:val="643A44B6"/>
    <w:rsid w:val="64411427"/>
    <w:rsid w:val="64C33CA9"/>
    <w:rsid w:val="65141470"/>
    <w:rsid w:val="65461B2F"/>
    <w:rsid w:val="65943F2D"/>
    <w:rsid w:val="65D774F8"/>
    <w:rsid w:val="65F80A9E"/>
    <w:rsid w:val="66024147"/>
    <w:rsid w:val="660A4B7D"/>
    <w:rsid w:val="666D0B87"/>
    <w:rsid w:val="66B410B1"/>
    <w:rsid w:val="670C62E7"/>
    <w:rsid w:val="67215EBF"/>
    <w:rsid w:val="672A016E"/>
    <w:rsid w:val="67543034"/>
    <w:rsid w:val="67674E60"/>
    <w:rsid w:val="6771482A"/>
    <w:rsid w:val="677E04B6"/>
    <w:rsid w:val="678138EF"/>
    <w:rsid w:val="67943467"/>
    <w:rsid w:val="683E4D72"/>
    <w:rsid w:val="689745EE"/>
    <w:rsid w:val="68CE6A1E"/>
    <w:rsid w:val="68D64F07"/>
    <w:rsid w:val="69317885"/>
    <w:rsid w:val="697D50E7"/>
    <w:rsid w:val="69DE5173"/>
    <w:rsid w:val="6A1D21E2"/>
    <w:rsid w:val="6A4B30B9"/>
    <w:rsid w:val="6A5F5F45"/>
    <w:rsid w:val="6A7908E0"/>
    <w:rsid w:val="6AE34169"/>
    <w:rsid w:val="6B1034F1"/>
    <w:rsid w:val="6B713ECF"/>
    <w:rsid w:val="6BC931D3"/>
    <w:rsid w:val="6C427E99"/>
    <w:rsid w:val="6C8F52D7"/>
    <w:rsid w:val="6D1315E3"/>
    <w:rsid w:val="6D3E54B1"/>
    <w:rsid w:val="6D473D5E"/>
    <w:rsid w:val="6D612940"/>
    <w:rsid w:val="6D72001A"/>
    <w:rsid w:val="6D983E99"/>
    <w:rsid w:val="6D9C26AC"/>
    <w:rsid w:val="6DB77332"/>
    <w:rsid w:val="6DC30B37"/>
    <w:rsid w:val="6E6306BD"/>
    <w:rsid w:val="6EC9010B"/>
    <w:rsid w:val="6F0A4B6C"/>
    <w:rsid w:val="6F144834"/>
    <w:rsid w:val="6F454542"/>
    <w:rsid w:val="6F534589"/>
    <w:rsid w:val="6F9A27BF"/>
    <w:rsid w:val="6F9A2CCF"/>
    <w:rsid w:val="6FF4798D"/>
    <w:rsid w:val="701C086E"/>
    <w:rsid w:val="707318D0"/>
    <w:rsid w:val="70A9135C"/>
    <w:rsid w:val="717A21C2"/>
    <w:rsid w:val="71875EE9"/>
    <w:rsid w:val="71B41AA2"/>
    <w:rsid w:val="71D273A8"/>
    <w:rsid w:val="71EA51EA"/>
    <w:rsid w:val="72092154"/>
    <w:rsid w:val="720E6740"/>
    <w:rsid w:val="72445C74"/>
    <w:rsid w:val="727A630E"/>
    <w:rsid w:val="72AD14D8"/>
    <w:rsid w:val="72AF2B96"/>
    <w:rsid w:val="73E818BB"/>
    <w:rsid w:val="744F08E9"/>
    <w:rsid w:val="74D8361E"/>
    <w:rsid w:val="74F51CB7"/>
    <w:rsid w:val="752151C5"/>
    <w:rsid w:val="75CB4E36"/>
    <w:rsid w:val="76C96402"/>
    <w:rsid w:val="772112C4"/>
    <w:rsid w:val="77450773"/>
    <w:rsid w:val="77AD1572"/>
    <w:rsid w:val="77AD1802"/>
    <w:rsid w:val="77B8098E"/>
    <w:rsid w:val="77E77DE4"/>
    <w:rsid w:val="78185850"/>
    <w:rsid w:val="78754537"/>
    <w:rsid w:val="78910758"/>
    <w:rsid w:val="78A65A5C"/>
    <w:rsid w:val="78B7509C"/>
    <w:rsid w:val="78EB12C0"/>
    <w:rsid w:val="78F034C5"/>
    <w:rsid w:val="790F4D60"/>
    <w:rsid w:val="79BC41A1"/>
    <w:rsid w:val="79D2675F"/>
    <w:rsid w:val="7A1C2880"/>
    <w:rsid w:val="7A902DD8"/>
    <w:rsid w:val="7ADD5E7F"/>
    <w:rsid w:val="7B1A1B2D"/>
    <w:rsid w:val="7B1E0C69"/>
    <w:rsid w:val="7BB82815"/>
    <w:rsid w:val="7BBB4E5E"/>
    <w:rsid w:val="7CD76260"/>
    <w:rsid w:val="7D0769DA"/>
    <w:rsid w:val="7D126285"/>
    <w:rsid w:val="7DF82905"/>
    <w:rsid w:val="7E712006"/>
    <w:rsid w:val="7F472D1F"/>
    <w:rsid w:val="7F893899"/>
    <w:rsid w:val="7FCB561F"/>
    <w:rsid w:val="7FE56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9" w:unhideWhenUsed="0"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nhideWhenUsed="0" w:qFormat="1"/>
    <w:lsdException w:name="footer" w:unhideWhenUsed="0"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D6120"/>
    <w:rPr>
      <w:sz w:val="24"/>
      <w:szCs w:val="24"/>
    </w:rPr>
  </w:style>
  <w:style w:type="paragraph" w:styleId="1">
    <w:name w:val="heading 1"/>
    <w:basedOn w:val="a"/>
    <w:next w:val="a"/>
    <w:link w:val="1Char"/>
    <w:uiPriority w:val="9"/>
    <w:qFormat/>
    <w:rsid w:val="000D6120"/>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unhideWhenUsed/>
    <w:qFormat/>
    <w:rsid w:val="000D6120"/>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qFormat/>
    <w:rsid w:val="000D6120"/>
    <w:pPr>
      <w:keepNext/>
      <w:keepLines/>
      <w:widowControl w:val="0"/>
      <w:spacing w:before="20" w:after="20" w:line="413" w:lineRule="auto"/>
      <w:ind w:leftChars="300" w:left="300" w:hanging="420"/>
      <w:outlineLvl w:val="2"/>
    </w:pPr>
    <w:rPr>
      <w:rFonts w:ascii="Calibri" w:hAnsi="Calibri" w:cs="黑体"/>
      <w:b/>
      <w:kern w:val="2"/>
      <w:sz w:val="28"/>
      <w:szCs w:val="22"/>
    </w:rPr>
  </w:style>
  <w:style w:type="paragraph" w:styleId="5">
    <w:name w:val="heading 5"/>
    <w:basedOn w:val="a"/>
    <w:next w:val="a"/>
    <w:link w:val="5Char"/>
    <w:qFormat/>
    <w:rsid w:val="000D6120"/>
    <w:pPr>
      <w:keepNext/>
      <w:keepLines/>
      <w:widowControl w:val="0"/>
      <w:spacing w:before="280" w:after="290" w:line="372" w:lineRule="auto"/>
      <w:ind w:left="1679" w:hanging="420"/>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D6120"/>
    <w:pPr>
      <w:widowControl w:val="0"/>
      <w:spacing w:line="360" w:lineRule="auto"/>
      <w:ind w:left="1260" w:hanging="420"/>
    </w:pPr>
    <w:rPr>
      <w:rFonts w:ascii="Calibri" w:hAnsi="Calibri" w:cs="黑体"/>
      <w:kern w:val="2"/>
      <w:sz w:val="18"/>
      <w:szCs w:val="18"/>
    </w:rPr>
  </w:style>
  <w:style w:type="paragraph" w:styleId="a3">
    <w:name w:val="caption"/>
    <w:basedOn w:val="a"/>
    <w:next w:val="a"/>
    <w:uiPriority w:val="35"/>
    <w:unhideWhenUsed/>
    <w:qFormat/>
    <w:rsid w:val="000D6120"/>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0D6120"/>
    <w:rPr>
      <w:rFonts w:asciiTheme="minorHAnsi" w:hAnsiTheme="minorHAnsi"/>
      <w:kern w:val="2"/>
      <w:sz w:val="21"/>
    </w:rPr>
  </w:style>
  <w:style w:type="paragraph" w:styleId="a5">
    <w:name w:val="Body Text"/>
    <w:basedOn w:val="a"/>
    <w:link w:val="Char0"/>
    <w:unhideWhenUsed/>
    <w:qFormat/>
    <w:rsid w:val="000D6120"/>
    <w:pPr>
      <w:widowControl w:val="0"/>
      <w:shd w:val="clear" w:color="auto" w:fill="FFFFFF"/>
      <w:spacing w:before="360" w:line="286" w:lineRule="exact"/>
      <w:ind w:left="1679" w:hanging="420"/>
      <w:jc w:val="distribute"/>
    </w:pPr>
    <w:rPr>
      <w:rFonts w:ascii="MingLiU" w:eastAsia="MingLiU" w:hAnsi="Calibri" w:cs="黑体"/>
      <w:sz w:val="14"/>
      <w:szCs w:val="14"/>
    </w:rPr>
  </w:style>
  <w:style w:type="paragraph" w:styleId="a6">
    <w:name w:val="Body Text Indent"/>
    <w:basedOn w:val="a"/>
    <w:link w:val="Char1"/>
    <w:unhideWhenUsed/>
    <w:qFormat/>
    <w:rsid w:val="000D6120"/>
    <w:pPr>
      <w:widowControl w:val="0"/>
      <w:spacing w:after="120" w:line="360" w:lineRule="auto"/>
      <w:ind w:leftChars="200" w:left="420" w:hanging="420"/>
      <w:jc w:val="both"/>
    </w:pPr>
    <w:rPr>
      <w:rFonts w:ascii="Calibri" w:hAnsi="Calibri" w:cs="黑体"/>
      <w:kern w:val="2"/>
      <w:sz w:val="21"/>
      <w:szCs w:val="22"/>
    </w:rPr>
  </w:style>
  <w:style w:type="paragraph" w:styleId="50">
    <w:name w:val="toc 5"/>
    <w:basedOn w:val="a"/>
    <w:next w:val="a"/>
    <w:uiPriority w:val="39"/>
    <w:unhideWhenUsed/>
    <w:qFormat/>
    <w:rsid w:val="000D6120"/>
    <w:pPr>
      <w:widowControl w:val="0"/>
      <w:spacing w:line="360" w:lineRule="auto"/>
      <w:ind w:left="840" w:hanging="420"/>
    </w:pPr>
    <w:rPr>
      <w:rFonts w:ascii="Calibri" w:hAnsi="Calibri" w:cs="黑体"/>
      <w:kern w:val="2"/>
      <w:sz w:val="18"/>
      <w:szCs w:val="18"/>
    </w:rPr>
  </w:style>
  <w:style w:type="paragraph" w:styleId="30">
    <w:name w:val="toc 3"/>
    <w:basedOn w:val="a"/>
    <w:next w:val="a"/>
    <w:uiPriority w:val="39"/>
    <w:unhideWhenUsed/>
    <w:qFormat/>
    <w:rsid w:val="000D6120"/>
    <w:pPr>
      <w:widowControl w:val="0"/>
      <w:spacing w:line="360" w:lineRule="auto"/>
      <w:ind w:left="420" w:hanging="420"/>
    </w:pPr>
    <w:rPr>
      <w:rFonts w:ascii="Calibri" w:hAnsi="Calibri" w:cs="黑体"/>
      <w:i/>
      <w:iCs/>
      <w:kern w:val="2"/>
      <w:sz w:val="20"/>
      <w:szCs w:val="20"/>
    </w:rPr>
  </w:style>
  <w:style w:type="paragraph" w:styleId="a7">
    <w:name w:val="Plain Text"/>
    <w:basedOn w:val="a"/>
    <w:link w:val="Char2"/>
    <w:unhideWhenUsed/>
    <w:qFormat/>
    <w:rsid w:val="000D6120"/>
    <w:pPr>
      <w:widowControl w:val="0"/>
      <w:jc w:val="both"/>
    </w:pPr>
    <w:rPr>
      <w:rFonts w:ascii="宋体" w:hAnsi="Courier New" w:cs="Courier New"/>
      <w:kern w:val="2"/>
      <w:sz w:val="21"/>
      <w:szCs w:val="21"/>
    </w:rPr>
  </w:style>
  <w:style w:type="paragraph" w:styleId="8">
    <w:name w:val="toc 8"/>
    <w:basedOn w:val="a"/>
    <w:next w:val="a"/>
    <w:uiPriority w:val="39"/>
    <w:unhideWhenUsed/>
    <w:qFormat/>
    <w:rsid w:val="000D6120"/>
    <w:pPr>
      <w:widowControl w:val="0"/>
      <w:spacing w:line="360" w:lineRule="auto"/>
      <w:ind w:left="1470" w:hanging="420"/>
    </w:pPr>
    <w:rPr>
      <w:rFonts w:ascii="Calibri" w:hAnsi="Calibri" w:cs="黑体"/>
      <w:kern w:val="2"/>
      <w:sz w:val="18"/>
      <w:szCs w:val="18"/>
    </w:rPr>
  </w:style>
  <w:style w:type="paragraph" w:styleId="a8">
    <w:name w:val="Date"/>
    <w:basedOn w:val="a"/>
    <w:next w:val="a"/>
    <w:link w:val="Char3"/>
    <w:uiPriority w:val="99"/>
    <w:unhideWhenUsed/>
    <w:qFormat/>
    <w:rsid w:val="000D6120"/>
    <w:pPr>
      <w:ind w:leftChars="2500" w:left="100"/>
    </w:pPr>
  </w:style>
  <w:style w:type="paragraph" w:styleId="a9">
    <w:name w:val="Balloon Text"/>
    <w:basedOn w:val="a"/>
    <w:link w:val="Char4"/>
    <w:uiPriority w:val="99"/>
    <w:qFormat/>
    <w:rsid w:val="000D6120"/>
    <w:rPr>
      <w:sz w:val="18"/>
      <w:szCs w:val="18"/>
    </w:rPr>
  </w:style>
  <w:style w:type="paragraph" w:styleId="aa">
    <w:name w:val="footer"/>
    <w:basedOn w:val="a"/>
    <w:link w:val="Char5"/>
    <w:uiPriority w:val="99"/>
    <w:qFormat/>
    <w:rsid w:val="000D6120"/>
    <w:pPr>
      <w:tabs>
        <w:tab w:val="center" w:pos="4153"/>
        <w:tab w:val="right" w:pos="8306"/>
      </w:tabs>
      <w:snapToGrid w:val="0"/>
    </w:pPr>
    <w:rPr>
      <w:sz w:val="18"/>
      <w:szCs w:val="18"/>
    </w:rPr>
  </w:style>
  <w:style w:type="paragraph" w:styleId="ab">
    <w:name w:val="header"/>
    <w:basedOn w:val="a"/>
    <w:link w:val="Char6"/>
    <w:uiPriority w:val="99"/>
    <w:qFormat/>
    <w:rsid w:val="000D61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D6120"/>
    <w:pPr>
      <w:widowControl w:val="0"/>
      <w:tabs>
        <w:tab w:val="right" w:leader="dot" w:pos="8296"/>
      </w:tabs>
      <w:adjustRightInd w:val="0"/>
      <w:snapToGrid w:val="0"/>
      <w:spacing w:line="480" w:lineRule="auto"/>
      <w:jc w:val="center"/>
    </w:pPr>
    <w:rPr>
      <w:rFonts w:eastAsia="仿宋_GB2312"/>
      <w:b/>
      <w:kern w:val="2"/>
      <w:sz w:val="32"/>
      <w:szCs w:val="32"/>
    </w:rPr>
  </w:style>
  <w:style w:type="paragraph" w:styleId="4">
    <w:name w:val="toc 4"/>
    <w:basedOn w:val="a"/>
    <w:next w:val="a"/>
    <w:uiPriority w:val="39"/>
    <w:unhideWhenUsed/>
    <w:qFormat/>
    <w:rsid w:val="000D6120"/>
    <w:pPr>
      <w:widowControl w:val="0"/>
      <w:spacing w:line="360" w:lineRule="auto"/>
      <w:ind w:left="630" w:hanging="420"/>
    </w:pPr>
    <w:rPr>
      <w:rFonts w:ascii="Calibri" w:hAnsi="Calibri" w:cs="黑体"/>
      <w:kern w:val="2"/>
      <w:sz w:val="18"/>
      <w:szCs w:val="18"/>
    </w:rPr>
  </w:style>
  <w:style w:type="paragraph" w:styleId="ac">
    <w:name w:val="footnote text"/>
    <w:basedOn w:val="a"/>
    <w:link w:val="Char7"/>
    <w:uiPriority w:val="99"/>
    <w:semiHidden/>
    <w:unhideWhenUsed/>
    <w:qFormat/>
    <w:rsid w:val="000D6120"/>
    <w:pPr>
      <w:snapToGrid w:val="0"/>
    </w:pPr>
    <w:rPr>
      <w:rFonts w:asciiTheme="minorHAnsi" w:hAnsiTheme="minorHAnsi"/>
      <w:kern w:val="2"/>
      <w:sz w:val="18"/>
      <w:szCs w:val="18"/>
    </w:rPr>
  </w:style>
  <w:style w:type="paragraph" w:styleId="6">
    <w:name w:val="toc 6"/>
    <w:basedOn w:val="a"/>
    <w:next w:val="a"/>
    <w:uiPriority w:val="39"/>
    <w:unhideWhenUsed/>
    <w:qFormat/>
    <w:rsid w:val="000D6120"/>
    <w:pPr>
      <w:widowControl w:val="0"/>
      <w:spacing w:line="360" w:lineRule="auto"/>
      <w:ind w:left="1050" w:hanging="420"/>
    </w:pPr>
    <w:rPr>
      <w:rFonts w:ascii="Calibri" w:hAnsi="Calibri" w:cs="黑体"/>
      <w:kern w:val="2"/>
      <w:sz w:val="18"/>
      <w:szCs w:val="18"/>
    </w:rPr>
  </w:style>
  <w:style w:type="paragraph" w:styleId="31">
    <w:name w:val="Body Text Indent 3"/>
    <w:basedOn w:val="a"/>
    <w:link w:val="3Char0"/>
    <w:uiPriority w:val="99"/>
    <w:unhideWhenUsed/>
    <w:qFormat/>
    <w:rsid w:val="000D6120"/>
    <w:pPr>
      <w:widowControl w:val="0"/>
      <w:spacing w:line="360" w:lineRule="auto"/>
      <w:ind w:left="1679" w:firstLineChars="200" w:firstLine="640"/>
      <w:jc w:val="both"/>
    </w:pPr>
    <w:rPr>
      <w:rFonts w:ascii="仿宋_GB2312" w:eastAsia="仿宋_GB2312"/>
      <w:kern w:val="2"/>
      <w:sz w:val="32"/>
      <w:szCs w:val="32"/>
    </w:rPr>
  </w:style>
  <w:style w:type="paragraph" w:styleId="20">
    <w:name w:val="toc 2"/>
    <w:basedOn w:val="a"/>
    <w:next w:val="a"/>
    <w:uiPriority w:val="39"/>
    <w:unhideWhenUsed/>
    <w:qFormat/>
    <w:rsid w:val="000D6120"/>
    <w:pPr>
      <w:widowControl w:val="0"/>
      <w:ind w:leftChars="200" w:left="420"/>
      <w:jc w:val="both"/>
    </w:pPr>
    <w:rPr>
      <w:rFonts w:asciiTheme="minorHAnsi" w:eastAsiaTheme="minorEastAsia" w:hAnsiTheme="minorHAnsi" w:cstheme="minorBidi"/>
      <w:kern w:val="2"/>
      <w:sz w:val="21"/>
      <w:szCs w:val="22"/>
    </w:rPr>
  </w:style>
  <w:style w:type="paragraph" w:styleId="9">
    <w:name w:val="toc 9"/>
    <w:basedOn w:val="a"/>
    <w:next w:val="a"/>
    <w:uiPriority w:val="39"/>
    <w:unhideWhenUsed/>
    <w:qFormat/>
    <w:rsid w:val="000D6120"/>
    <w:pPr>
      <w:widowControl w:val="0"/>
      <w:spacing w:line="360" w:lineRule="auto"/>
      <w:ind w:left="1680" w:hanging="420"/>
    </w:pPr>
    <w:rPr>
      <w:rFonts w:ascii="Calibri" w:hAnsi="Calibri" w:cs="黑体"/>
      <w:kern w:val="2"/>
      <w:sz w:val="18"/>
      <w:szCs w:val="18"/>
    </w:rPr>
  </w:style>
  <w:style w:type="paragraph" w:styleId="ad">
    <w:name w:val="Normal (Web)"/>
    <w:basedOn w:val="a"/>
    <w:uiPriority w:val="99"/>
    <w:qFormat/>
    <w:rsid w:val="000D6120"/>
    <w:pPr>
      <w:spacing w:before="100" w:beforeAutospacing="1" w:after="100" w:afterAutospacing="1"/>
    </w:pPr>
    <w:rPr>
      <w:rFonts w:ascii="Arial Unicode MS" w:eastAsia="Arial Unicode MS" w:hAnsi="Arial Unicode MS" w:cs="Arial Unicode MS" w:hint="eastAsia"/>
      <w:color w:val="000000"/>
    </w:rPr>
  </w:style>
  <w:style w:type="table" w:styleId="ae">
    <w:name w:val="Table Grid"/>
    <w:basedOn w:val="a1"/>
    <w:uiPriority w:val="59"/>
    <w:qFormat/>
    <w:rsid w:val="000D61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uiPriority w:val="22"/>
    <w:qFormat/>
    <w:rsid w:val="000D6120"/>
    <w:rPr>
      <w:b/>
      <w:bCs/>
    </w:rPr>
  </w:style>
  <w:style w:type="character" w:styleId="af0">
    <w:name w:val="page number"/>
    <w:unhideWhenUsed/>
    <w:qFormat/>
    <w:rsid w:val="000D6120"/>
  </w:style>
  <w:style w:type="character" w:styleId="af1">
    <w:name w:val="Hyperlink"/>
    <w:uiPriority w:val="99"/>
    <w:unhideWhenUsed/>
    <w:qFormat/>
    <w:rsid w:val="000D6120"/>
    <w:rPr>
      <w:color w:val="0000FF"/>
      <w:u w:val="single"/>
    </w:rPr>
  </w:style>
  <w:style w:type="character" w:customStyle="1" w:styleId="Char6">
    <w:name w:val="页眉 Char"/>
    <w:basedOn w:val="a0"/>
    <w:link w:val="ab"/>
    <w:uiPriority w:val="99"/>
    <w:qFormat/>
    <w:rsid w:val="000D6120"/>
    <w:rPr>
      <w:rFonts w:ascii="Times New Roman" w:eastAsia="宋体" w:hAnsi="Times New Roman" w:cs="Times New Roman"/>
      <w:kern w:val="0"/>
      <w:sz w:val="18"/>
      <w:szCs w:val="18"/>
    </w:rPr>
  </w:style>
  <w:style w:type="character" w:customStyle="1" w:styleId="Char5">
    <w:name w:val="页脚 Char"/>
    <w:basedOn w:val="a0"/>
    <w:link w:val="aa"/>
    <w:uiPriority w:val="99"/>
    <w:qFormat/>
    <w:rsid w:val="000D6120"/>
    <w:rPr>
      <w:rFonts w:ascii="Times New Roman" w:eastAsia="宋体" w:hAnsi="Times New Roman" w:cs="Times New Roman"/>
      <w:kern w:val="0"/>
      <w:sz w:val="18"/>
      <w:szCs w:val="18"/>
    </w:rPr>
  </w:style>
  <w:style w:type="paragraph" w:customStyle="1" w:styleId="Default">
    <w:name w:val="Default"/>
    <w:qFormat/>
    <w:rsid w:val="000D6120"/>
    <w:pPr>
      <w:widowControl w:val="0"/>
      <w:autoSpaceDE w:val="0"/>
      <w:autoSpaceDN w:val="0"/>
      <w:adjustRightInd w:val="0"/>
    </w:pPr>
    <w:rPr>
      <w:rFonts w:ascii="仿宋" w:eastAsia="仿宋" w:cs="仿宋"/>
      <w:color w:val="000000"/>
      <w:sz w:val="24"/>
      <w:szCs w:val="24"/>
    </w:rPr>
  </w:style>
  <w:style w:type="character" w:customStyle="1" w:styleId="Char4">
    <w:name w:val="批注框文本 Char"/>
    <w:basedOn w:val="a0"/>
    <w:link w:val="a9"/>
    <w:uiPriority w:val="99"/>
    <w:qFormat/>
    <w:rsid w:val="000D6120"/>
    <w:rPr>
      <w:rFonts w:ascii="Times New Roman" w:eastAsia="宋体" w:hAnsi="Times New Roman" w:cs="Times New Roman"/>
      <w:kern w:val="0"/>
      <w:sz w:val="18"/>
      <w:szCs w:val="18"/>
    </w:rPr>
  </w:style>
  <w:style w:type="character" w:customStyle="1" w:styleId="Char2">
    <w:name w:val="纯文本 Char"/>
    <w:basedOn w:val="a0"/>
    <w:link w:val="a7"/>
    <w:qFormat/>
    <w:rsid w:val="000D6120"/>
    <w:rPr>
      <w:rFonts w:ascii="宋体" w:eastAsia="宋体" w:hAnsi="Courier New" w:cs="Courier New"/>
      <w:szCs w:val="21"/>
    </w:rPr>
  </w:style>
  <w:style w:type="paragraph" w:customStyle="1" w:styleId="p0">
    <w:name w:val="p0"/>
    <w:basedOn w:val="a"/>
    <w:qFormat/>
    <w:rsid w:val="000D6120"/>
    <w:pPr>
      <w:jc w:val="both"/>
    </w:pPr>
    <w:rPr>
      <w:sz w:val="21"/>
      <w:szCs w:val="21"/>
    </w:rPr>
  </w:style>
  <w:style w:type="character" w:customStyle="1" w:styleId="Char3">
    <w:name w:val="日期 Char"/>
    <w:basedOn w:val="a0"/>
    <w:link w:val="a8"/>
    <w:uiPriority w:val="99"/>
    <w:qFormat/>
    <w:rsid w:val="000D6120"/>
    <w:rPr>
      <w:rFonts w:ascii="Times New Roman" w:eastAsia="宋体" w:hAnsi="Times New Roman" w:cs="Times New Roman"/>
      <w:kern w:val="0"/>
      <w:sz w:val="24"/>
      <w:szCs w:val="24"/>
    </w:rPr>
  </w:style>
  <w:style w:type="character" w:customStyle="1" w:styleId="font11">
    <w:name w:val="font11"/>
    <w:basedOn w:val="a0"/>
    <w:qFormat/>
    <w:rsid w:val="000D6120"/>
    <w:rPr>
      <w:rFonts w:ascii="Arial" w:hAnsi="Arial" w:cs="Arial" w:hint="default"/>
      <w:color w:val="000000"/>
      <w:sz w:val="12"/>
      <w:szCs w:val="12"/>
      <w:u w:val="none"/>
    </w:rPr>
  </w:style>
  <w:style w:type="character" w:customStyle="1" w:styleId="font21">
    <w:name w:val="font21"/>
    <w:basedOn w:val="a0"/>
    <w:qFormat/>
    <w:rsid w:val="000D6120"/>
    <w:rPr>
      <w:rFonts w:ascii="宋体" w:eastAsia="宋体" w:hAnsi="宋体" w:cs="宋体" w:hint="eastAsia"/>
      <w:color w:val="000000"/>
      <w:sz w:val="12"/>
      <w:szCs w:val="12"/>
      <w:u w:val="none"/>
    </w:rPr>
  </w:style>
  <w:style w:type="character" w:customStyle="1" w:styleId="1Char">
    <w:name w:val="标题 1 Char"/>
    <w:basedOn w:val="a0"/>
    <w:link w:val="1"/>
    <w:uiPriority w:val="9"/>
    <w:qFormat/>
    <w:rsid w:val="000D6120"/>
    <w:rPr>
      <w:b/>
      <w:bCs/>
      <w:kern w:val="44"/>
      <w:sz w:val="44"/>
      <w:szCs w:val="44"/>
    </w:rPr>
  </w:style>
  <w:style w:type="character" w:customStyle="1" w:styleId="2Char">
    <w:name w:val="标题 2 Char"/>
    <w:basedOn w:val="a0"/>
    <w:link w:val="2"/>
    <w:qFormat/>
    <w:rsid w:val="000D6120"/>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0D6120"/>
    <w:rPr>
      <w:rFonts w:ascii="Calibri" w:hAnsi="Calibri" w:cs="黑体"/>
      <w:b/>
      <w:kern w:val="2"/>
      <w:sz w:val="28"/>
      <w:szCs w:val="22"/>
    </w:rPr>
  </w:style>
  <w:style w:type="character" w:customStyle="1" w:styleId="5Char">
    <w:name w:val="标题 5 Char"/>
    <w:basedOn w:val="a0"/>
    <w:link w:val="5"/>
    <w:qFormat/>
    <w:rsid w:val="000D6120"/>
    <w:rPr>
      <w:b/>
      <w:sz w:val="28"/>
    </w:rPr>
  </w:style>
  <w:style w:type="character" w:customStyle="1" w:styleId="Char">
    <w:name w:val="批注文字 Char"/>
    <w:basedOn w:val="a0"/>
    <w:link w:val="a4"/>
    <w:uiPriority w:val="99"/>
    <w:semiHidden/>
    <w:qFormat/>
    <w:rsid w:val="000D6120"/>
    <w:rPr>
      <w:rFonts w:asciiTheme="minorHAnsi" w:hAnsiTheme="minorHAnsi"/>
      <w:kern w:val="2"/>
      <w:sz w:val="21"/>
      <w:szCs w:val="24"/>
    </w:rPr>
  </w:style>
  <w:style w:type="character" w:customStyle="1" w:styleId="Char0">
    <w:name w:val="正文文本 Char"/>
    <w:basedOn w:val="a0"/>
    <w:link w:val="a5"/>
    <w:qFormat/>
    <w:rsid w:val="000D6120"/>
    <w:rPr>
      <w:rFonts w:ascii="MingLiU" w:eastAsia="MingLiU" w:hAnsi="Calibri" w:cs="黑体"/>
      <w:sz w:val="14"/>
      <w:szCs w:val="14"/>
      <w:shd w:val="clear" w:color="auto" w:fill="FFFFFF"/>
    </w:rPr>
  </w:style>
  <w:style w:type="character" w:customStyle="1" w:styleId="Char1">
    <w:name w:val="正文文本缩进 Char"/>
    <w:basedOn w:val="a0"/>
    <w:link w:val="a6"/>
    <w:qFormat/>
    <w:rsid w:val="000D6120"/>
    <w:rPr>
      <w:rFonts w:ascii="Calibri" w:hAnsi="Calibri" w:cs="黑体"/>
      <w:kern w:val="2"/>
      <w:sz w:val="21"/>
      <w:szCs w:val="22"/>
    </w:rPr>
  </w:style>
  <w:style w:type="character" w:customStyle="1" w:styleId="Char7">
    <w:name w:val="脚注文本 Char"/>
    <w:basedOn w:val="a0"/>
    <w:link w:val="ac"/>
    <w:uiPriority w:val="99"/>
    <w:semiHidden/>
    <w:qFormat/>
    <w:rsid w:val="000D6120"/>
    <w:rPr>
      <w:rFonts w:asciiTheme="minorHAnsi" w:hAnsiTheme="minorHAnsi"/>
      <w:kern w:val="2"/>
      <w:sz w:val="18"/>
      <w:szCs w:val="18"/>
    </w:rPr>
  </w:style>
  <w:style w:type="character" w:customStyle="1" w:styleId="3Char0">
    <w:name w:val="正文文本缩进 3 Char"/>
    <w:basedOn w:val="a0"/>
    <w:link w:val="31"/>
    <w:uiPriority w:val="99"/>
    <w:qFormat/>
    <w:rsid w:val="000D6120"/>
    <w:rPr>
      <w:rFonts w:ascii="仿宋_GB2312" w:eastAsia="仿宋_GB2312"/>
      <w:kern w:val="2"/>
      <w:sz w:val="32"/>
      <w:szCs w:val="32"/>
    </w:rPr>
  </w:style>
  <w:style w:type="character" w:customStyle="1" w:styleId="sect2title1">
    <w:name w:val="sect2title1"/>
    <w:qFormat/>
    <w:rsid w:val="000D6120"/>
    <w:rPr>
      <w:rFonts w:ascii="微软雅黑" w:eastAsia="微软雅黑" w:hAnsi="微软雅黑" w:hint="eastAsia"/>
      <w:b/>
      <w:bCs/>
      <w:sz w:val="26"/>
      <w:szCs w:val="26"/>
    </w:rPr>
  </w:style>
  <w:style w:type="character" w:customStyle="1" w:styleId="title1">
    <w:name w:val="title1"/>
    <w:qFormat/>
    <w:rsid w:val="000D6120"/>
    <w:rPr>
      <w:rFonts w:ascii="微软雅黑" w:eastAsia="微软雅黑" w:hAnsi="微软雅黑" w:hint="eastAsia"/>
      <w:sz w:val="26"/>
      <w:szCs w:val="26"/>
    </w:rPr>
  </w:style>
  <w:style w:type="paragraph" w:customStyle="1" w:styleId="p15">
    <w:name w:val="p15"/>
    <w:basedOn w:val="a"/>
    <w:qFormat/>
    <w:rsid w:val="000D6120"/>
    <w:pPr>
      <w:spacing w:line="360" w:lineRule="auto"/>
      <w:ind w:left="1679" w:hanging="420"/>
      <w:jc w:val="both"/>
    </w:pPr>
    <w:rPr>
      <w:rFonts w:cs="黑体"/>
      <w:sz w:val="21"/>
      <w:szCs w:val="21"/>
    </w:rPr>
  </w:style>
  <w:style w:type="paragraph" w:customStyle="1" w:styleId="p19">
    <w:name w:val="p19"/>
    <w:basedOn w:val="a"/>
    <w:qFormat/>
    <w:rsid w:val="000D6120"/>
    <w:pPr>
      <w:spacing w:line="420" w:lineRule="atLeast"/>
      <w:ind w:left="1679" w:firstLine="284"/>
      <w:jc w:val="both"/>
    </w:pPr>
    <w:rPr>
      <w:rFonts w:ascii="仿宋_GB2312" w:eastAsia="仿宋_GB2312" w:hAnsi="宋体" w:cs="宋体"/>
      <w:sz w:val="28"/>
      <w:szCs w:val="28"/>
    </w:rPr>
  </w:style>
  <w:style w:type="paragraph" w:customStyle="1" w:styleId="21">
    <w:name w:val="列出段落21"/>
    <w:basedOn w:val="a"/>
    <w:uiPriority w:val="34"/>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p18">
    <w:name w:val="p18"/>
    <w:basedOn w:val="a"/>
    <w:qFormat/>
    <w:rsid w:val="000D6120"/>
    <w:pPr>
      <w:spacing w:after="120" w:line="480" w:lineRule="auto"/>
      <w:ind w:left="420" w:hanging="420"/>
      <w:jc w:val="both"/>
    </w:pPr>
    <w:rPr>
      <w:rFonts w:cs="黑体"/>
      <w:sz w:val="21"/>
      <w:szCs w:val="21"/>
    </w:rPr>
  </w:style>
  <w:style w:type="paragraph" w:customStyle="1" w:styleId="p16">
    <w:name w:val="p16"/>
    <w:basedOn w:val="a"/>
    <w:qFormat/>
    <w:rsid w:val="000D6120"/>
    <w:pPr>
      <w:spacing w:before="100" w:after="100" w:line="360" w:lineRule="auto"/>
      <w:ind w:left="1679" w:hanging="420"/>
    </w:pPr>
    <w:rPr>
      <w:rFonts w:ascii="宋体" w:hAnsi="宋体" w:cs="宋体"/>
      <w:color w:val="000000"/>
    </w:rPr>
  </w:style>
  <w:style w:type="paragraph" w:customStyle="1" w:styleId="af2">
    <w:name w:val="文字"/>
    <w:basedOn w:val="a"/>
    <w:link w:val="Char8"/>
    <w:qFormat/>
    <w:rsid w:val="000D6120"/>
    <w:pPr>
      <w:spacing w:line="360" w:lineRule="auto"/>
      <w:ind w:left="1679" w:hanging="420"/>
    </w:pPr>
    <w:rPr>
      <w:rFonts w:ascii="仿宋_GB2312" w:eastAsia="仿宋_GB2312" w:hAnsi="宋体" w:cs="黑体"/>
      <w:color w:val="000000"/>
      <w:sz w:val="20"/>
      <w:szCs w:val="20"/>
    </w:rPr>
  </w:style>
  <w:style w:type="character" w:customStyle="1" w:styleId="Char8">
    <w:name w:val="文字 Char"/>
    <w:link w:val="af2"/>
    <w:qFormat/>
    <w:rsid w:val="000D6120"/>
    <w:rPr>
      <w:rFonts w:ascii="仿宋_GB2312" w:eastAsia="仿宋_GB2312" w:hAnsi="宋体" w:cs="黑体"/>
      <w:color w:val="000000"/>
    </w:rPr>
  </w:style>
  <w:style w:type="paragraph" w:customStyle="1" w:styleId="p24">
    <w:name w:val="p24"/>
    <w:basedOn w:val="a"/>
    <w:qFormat/>
    <w:rsid w:val="000D6120"/>
    <w:pPr>
      <w:spacing w:before="100" w:after="100" w:line="360" w:lineRule="auto"/>
      <w:ind w:left="1679" w:hanging="420"/>
    </w:pPr>
    <w:rPr>
      <w:rFonts w:ascii="宋体" w:hAnsi="宋体" w:cs="宋体"/>
    </w:rPr>
  </w:style>
  <w:style w:type="paragraph" w:customStyle="1" w:styleId="40">
    <w:name w:val="列出段落4"/>
    <w:basedOn w:val="a"/>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p22">
    <w:name w:val="p22"/>
    <w:basedOn w:val="a"/>
    <w:qFormat/>
    <w:rsid w:val="000D6120"/>
    <w:pPr>
      <w:spacing w:line="360" w:lineRule="auto"/>
      <w:ind w:left="420" w:hanging="420"/>
      <w:jc w:val="both"/>
    </w:pPr>
    <w:rPr>
      <w:rFonts w:cs="黑体"/>
      <w:sz w:val="21"/>
      <w:szCs w:val="21"/>
    </w:rPr>
  </w:style>
  <w:style w:type="paragraph" w:customStyle="1" w:styleId="TOC1">
    <w:name w:val="TOC 标题1"/>
    <w:basedOn w:val="1"/>
    <w:next w:val="a"/>
    <w:uiPriority w:val="39"/>
    <w:unhideWhenUsed/>
    <w:qFormat/>
    <w:rsid w:val="000D6120"/>
    <w:pPr>
      <w:keepLines w:val="0"/>
      <w:widowControl/>
      <w:adjustRightInd w:val="0"/>
      <w:spacing w:before="480" w:after="0" w:line="276" w:lineRule="auto"/>
      <w:ind w:leftChars="300" w:left="630"/>
      <w:jc w:val="left"/>
      <w:outlineLvl w:val="9"/>
    </w:pPr>
    <w:rPr>
      <w:rFonts w:ascii="Cambria" w:eastAsia="黑体" w:hAnsi="Cambria" w:cs="黑体"/>
      <w:b w:val="0"/>
      <w:color w:val="365F91"/>
      <w:kern w:val="0"/>
      <w:sz w:val="28"/>
      <w:szCs w:val="28"/>
    </w:rPr>
  </w:style>
  <w:style w:type="paragraph" w:customStyle="1" w:styleId="32">
    <w:name w:val="列出段落3"/>
    <w:basedOn w:val="a"/>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af3">
    <w:name w:val="章标题"/>
    <w:basedOn w:val="a"/>
    <w:link w:val="Char9"/>
    <w:qFormat/>
    <w:rsid w:val="000D6120"/>
    <w:pPr>
      <w:spacing w:line="360" w:lineRule="auto"/>
      <w:ind w:left="1679" w:hanging="420"/>
    </w:pPr>
    <w:rPr>
      <w:rFonts w:ascii="仿宋_GB2312" w:eastAsia="仿宋_GB2312" w:hAnsi="宋体" w:cs="黑体"/>
      <w:b/>
      <w:bCs/>
      <w:color w:val="000000"/>
      <w:sz w:val="20"/>
      <w:szCs w:val="20"/>
    </w:rPr>
  </w:style>
  <w:style w:type="character" w:customStyle="1" w:styleId="Char9">
    <w:name w:val="章标题 Char"/>
    <w:link w:val="af3"/>
    <w:qFormat/>
    <w:rsid w:val="000D6120"/>
    <w:rPr>
      <w:rFonts w:ascii="仿宋_GB2312" w:eastAsia="仿宋_GB2312" w:hAnsi="宋体" w:cs="黑体"/>
      <w:b/>
      <w:bCs/>
      <w:color w:val="000000"/>
    </w:rPr>
  </w:style>
  <w:style w:type="paragraph" w:customStyle="1" w:styleId="11">
    <w:name w:val="列出段落1"/>
    <w:basedOn w:val="a"/>
    <w:uiPriority w:val="34"/>
    <w:qFormat/>
    <w:rsid w:val="000D6120"/>
    <w:pPr>
      <w:widowControl w:val="0"/>
      <w:spacing w:line="360" w:lineRule="auto"/>
      <w:ind w:left="1679" w:firstLineChars="200" w:firstLine="420"/>
      <w:jc w:val="both"/>
    </w:pPr>
    <w:rPr>
      <w:rFonts w:ascii="Calibri" w:hAnsi="Calibri" w:cs="黑体"/>
      <w:kern w:val="2"/>
      <w:sz w:val="21"/>
      <w:szCs w:val="21"/>
    </w:rPr>
  </w:style>
  <w:style w:type="paragraph" w:customStyle="1" w:styleId="110">
    <w:name w:val="列出段落11"/>
    <w:basedOn w:val="a"/>
    <w:uiPriority w:val="34"/>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p20">
    <w:name w:val="p20"/>
    <w:basedOn w:val="a"/>
    <w:qFormat/>
    <w:rsid w:val="000D6120"/>
    <w:pPr>
      <w:spacing w:line="360" w:lineRule="auto"/>
      <w:ind w:left="840" w:hanging="420"/>
      <w:jc w:val="both"/>
    </w:pPr>
    <w:rPr>
      <w:rFonts w:cs="黑体"/>
      <w:sz w:val="21"/>
      <w:szCs w:val="21"/>
    </w:rPr>
  </w:style>
  <w:style w:type="paragraph" w:customStyle="1" w:styleId="p23">
    <w:name w:val="p23"/>
    <w:basedOn w:val="a"/>
    <w:qFormat/>
    <w:rsid w:val="000D6120"/>
    <w:pPr>
      <w:spacing w:line="360" w:lineRule="auto"/>
      <w:ind w:left="1679" w:hanging="420"/>
      <w:jc w:val="both"/>
    </w:pPr>
    <w:rPr>
      <w:rFonts w:cs="黑体"/>
      <w:sz w:val="21"/>
      <w:szCs w:val="21"/>
    </w:rPr>
  </w:style>
  <w:style w:type="paragraph" w:customStyle="1" w:styleId="doc-a">
    <w:name w:val="doc-a"/>
    <w:basedOn w:val="a"/>
    <w:qFormat/>
    <w:rsid w:val="000D6120"/>
    <w:pPr>
      <w:spacing w:before="100" w:beforeAutospacing="1" w:after="100" w:afterAutospacing="1" w:line="360" w:lineRule="auto"/>
      <w:ind w:left="1679" w:firstLine="480"/>
    </w:pPr>
    <w:rPr>
      <w:rFonts w:ascii="微软雅黑" w:eastAsia="微软雅黑" w:hAnsi="微软雅黑" w:cs="宋体"/>
      <w:sz w:val="17"/>
      <w:szCs w:val="17"/>
    </w:rPr>
  </w:style>
  <w:style w:type="paragraph" w:customStyle="1" w:styleId="22">
    <w:name w:val="列出段落2"/>
    <w:basedOn w:val="a"/>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p21">
    <w:name w:val="p21"/>
    <w:basedOn w:val="a"/>
    <w:qFormat/>
    <w:rsid w:val="000D6120"/>
    <w:pPr>
      <w:spacing w:line="360" w:lineRule="auto"/>
      <w:ind w:left="1679" w:hanging="420"/>
      <w:jc w:val="both"/>
    </w:pPr>
    <w:rPr>
      <w:rFonts w:cs="黑体"/>
      <w:sz w:val="21"/>
      <w:szCs w:val="21"/>
    </w:rPr>
  </w:style>
  <w:style w:type="paragraph" w:styleId="af4">
    <w:name w:val="List Paragraph"/>
    <w:basedOn w:val="a"/>
    <w:uiPriority w:val="99"/>
    <w:qFormat/>
    <w:rsid w:val="000D6120"/>
    <w:pPr>
      <w:widowControl w:val="0"/>
      <w:spacing w:line="240" w:lineRule="atLeast"/>
      <w:ind w:left="1679" w:firstLineChars="200" w:firstLine="420"/>
      <w:jc w:val="both"/>
    </w:pPr>
    <w:rPr>
      <w:rFonts w:ascii="Calibri" w:hAnsi="Calibri" w:cs="Calibri"/>
      <w:kern w:val="2"/>
      <w:sz w:val="21"/>
      <w:szCs w:val="21"/>
    </w:rPr>
  </w:style>
  <w:style w:type="paragraph" w:customStyle="1" w:styleId="TOC2">
    <w:name w:val="TOC 标题2"/>
    <w:basedOn w:val="1"/>
    <w:next w:val="a"/>
    <w:uiPriority w:val="39"/>
    <w:qFormat/>
    <w:rsid w:val="000D6120"/>
    <w:pPr>
      <w:keepLines w:val="0"/>
      <w:widowControl/>
      <w:adjustRightInd w:val="0"/>
      <w:spacing w:before="480" w:after="0" w:line="276" w:lineRule="auto"/>
      <w:ind w:leftChars="300" w:left="630"/>
      <w:jc w:val="left"/>
      <w:outlineLvl w:val="9"/>
    </w:pPr>
    <w:rPr>
      <w:rFonts w:ascii="Cambria" w:eastAsia="黑体" w:hAnsi="Cambria"/>
      <w:b w:val="0"/>
      <w:color w:val="365F91"/>
      <w:kern w:val="0"/>
      <w:sz w:val="28"/>
      <w:szCs w:val="28"/>
    </w:rPr>
  </w:style>
  <w:style w:type="paragraph" w:customStyle="1" w:styleId="12">
    <w:name w:val="正文1"/>
    <w:basedOn w:val="a"/>
    <w:qFormat/>
    <w:rsid w:val="000D6120"/>
    <w:pPr>
      <w:spacing w:line="600" w:lineRule="exact"/>
      <w:ind w:firstLineChars="200" w:firstLine="624"/>
      <w:jc w:val="both"/>
    </w:pPr>
    <w:rPr>
      <w:rFonts w:asciiTheme="minorHAnsi" w:hAnsiTheme="minorHAnsi"/>
      <w:kern w:val="2"/>
      <w:sz w:val="21"/>
    </w:rPr>
  </w:style>
  <w:style w:type="character" w:customStyle="1" w:styleId="font31">
    <w:name w:val="font31"/>
    <w:basedOn w:val="a0"/>
    <w:qFormat/>
    <w:rsid w:val="000D6120"/>
    <w:rPr>
      <w:rFonts w:ascii="宋体" w:eastAsia="宋体" w:hAnsi="宋体" w:cs="宋体" w:hint="eastAsia"/>
      <w:b/>
      <w:color w:val="000000"/>
      <w:sz w:val="20"/>
      <w:szCs w:val="20"/>
      <w:u w:val="none"/>
    </w:rPr>
  </w:style>
  <w:style w:type="character" w:customStyle="1" w:styleId="font121">
    <w:name w:val="font121"/>
    <w:basedOn w:val="a0"/>
    <w:qFormat/>
    <w:rsid w:val="000D6120"/>
    <w:rPr>
      <w:rFonts w:ascii="宋体" w:eastAsia="宋体" w:hAnsi="宋体" w:cs="宋体" w:hint="eastAsia"/>
      <w:b/>
      <w:color w:val="000000"/>
      <w:sz w:val="20"/>
      <w:szCs w:val="20"/>
      <w:u w:val="none"/>
    </w:rPr>
  </w:style>
  <w:style w:type="paragraph" w:customStyle="1" w:styleId="WPSOffice1">
    <w:name w:val="WPSOffice手动目录 1"/>
    <w:qFormat/>
    <w:rsid w:val="000D6120"/>
    <w:rPr>
      <w:rFonts w:asciiTheme="minorHAnsi" w:eastAsiaTheme="minorEastAsia" w:hAnsiTheme="minorHAnsi" w:cstheme="minorBidi"/>
    </w:rPr>
  </w:style>
  <w:style w:type="paragraph" w:customStyle="1" w:styleId="WPSOffice2">
    <w:name w:val="WPSOffice手动目录 2"/>
    <w:qFormat/>
    <w:rsid w:val="000D6120"/>
    <w:pPr>
      <w:ind w:leftChars="200" w:left="2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920592193808675"/>
          <c:y val="8.5714285714285743E-2"/>
          <c:w val="0.85733512786002697"/>
          <c:h val="0.72698412698412962"/>
        </c:manualLayout>
      </c:layout>
      <c:barChart>
        <c:barDir val="col"/>
        <c:grouping val="clustered"/>
        <c:ser>
          <c:idx val="0"/>
          <c:order val="0"/>
          <c:tx>
            <c:strRef>
              <c:f>Sheet1!$A$2</c:f>
              <c:strCache>
                <c:ptCount val="1"/>
                <c:pt idx="0">
                  <c:v>收入</c:v>
                </c:pt>
              </c:strCache>
            </c:strRef>
          </c:tx>
          <c:cat>
            <c:strRef>
              <c:f>Sheet1!$B$1:$C$1</c:f>
              <c:strCache>
                <c:ptCount val="2"/>
                <c:pt idx="0">
                  <c:v>2021年</c:v>
                </c:pt>
                <c:pt idx="1">
                  <c:v>2020年</c:v>
                </c:pt>
              </c:strCache>
            </c:strRef>
          </c:cat>
          <c:val>
            <c:numRef>
              <c:f>Sheet1!$B$2:$C$2</c:f>
              <c:numCache>
                <c:formatCode>#,##0.00</c:formatCode>
                <c:ptCount val="2"/>
                <c:pt idx="0">
                  <c:v>741.66</c:v>
                </c:pt>
                <c:pt idx="1">
                  <c:v>1004.4599999999995</c:v>
                </c:pt>
              </c:numCache>
            </c:numRef>
          </c:val>
        </c:ser>
        <c:ser>
          <c:idx val="1"/>
          <c:order val="1"/>
          <c:tx>
            <c:strRef>
              <c:f>Sheet1!$A$3</c:f>
              <c:strCache>
                <c:ptCount val="1"/>
                <c:pt idx="0">
                  <c:v>本年支出</c:v>
                </c:pt>
              </c:strCache>
            </c:strRef>
          </c:tx>
          <c:cat>
            <c:strRef>
              <c:f>Sheet1!$B$1:$C$1</c:f>
              <c:strCache>
                <c:ptCount val="2"/>
                <c:pt idx="0">
                  <c:v>2021年</c:v>
                </c:pt>
                <c:pt idx="1">
                  <c:v>2020年</c:v>
                </c:pt>
              </c:strCache>
            </c:strRef>
          </c:cat>
          <c:val>
            <c:numRef>
              <c:f>Sheet1!$B$3:$C$3</c:f>
              <c:numCache>
                <c:formatCode>#,##0.00</c:formatCode>
                <c:ptCount val="2"/>
                <c:pt idx="0">
                  <c:v>678.18000000000052</c:v>
                </c:pt>
                <c:pt idx="1">
                  <c:v>922.64</c:v>
                </c:pt>
              </c:numCache>
            </c:numRef>
          </c:val>
        </c:ser>
        <c:axId val="47120768"/>
        <c:axId val="50197632"/>
      </c:barChart>
      <c:catAx>
        <c:axId val="47120768"/>
        <c:scaling>
          <c:orientation val="minMax"/>
        </c:scaling>
        <c:axPos val="b"/>
        <c:numFmt formatCode="General"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0197632"/>
        <c:crosses val="autoZero"/>
        <c:auto val="1"/>
        <c:lblAlgn val="ctr"/>
        <c:lblOffset val="100"/>
        <c:tickLblSkip val="1"/>
      </c:catAx>
      <c:valAx>
        <c:axId val="50197632"/>
        <c:scaling>
          <c:orientation val="minMax"/>
        </c:scaling>
        <c:axPos val="l"/>
        <c:majorGridlines/>
        <c:numFmt formatCode="#,##0.00"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20768"/>
        <c:crosses val="autoZero"/>
        <c:crossBetween val="between"/>
      </c:valAx>
      <c:spPr>
        <a:noFill/>
        <a:ln>
          <a:noFill/>
        </a:ln>
      </c:spPr>
    </c:plotArea>
    <c:plotVisOnly val="1"/>
    <c:dispBlanksAs val="gap"/>
  </c:chart>
  <c:spPr>
    <a:noFill/>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124471420239238"/>
          <c:y val="0.12202380952381015"/>
          <c:w val="0.45949074074074131"/>
          <c:h val="0.78769841269842167"/>
        </c:manualLayout>
      </c:layout>
      <c:pieChart>
        <c:varyColors val="1"/>
        <c:ser>
          <c:idx val="0"/>
          <c:order val="0"/>
          <c:tx>
            <c:strRef>
              <c:f>Sheet1!$B$1</c:f>
              <c:strCache>
                <c:ptCount val="1"/>
                <c:pt idx="0">
                  <c:v>收入决算结构</c:v>
                </c:pt>
              </c:strCache>
            </c:strRef>
          </c:tx>
          <c:explosion val="25"/>
          <c:dLbls>
            <c:dLbl>
              <c:idx val="0"/>
              <c:layout>
                <c:manualLayout>
                  <c:x val="1.3969087197433718E-3"/>
                  <c:y val="-0.20034542314335121"/>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Sheet1!$B$2:$B$3</c:f>
              <c:numCache>
                <c:formatCode>0.00%</c:formatCode>
                <c:ptCount val="2"/>
                <c:pt idx="0">
                  <c:v>0.89913167758811396</c:v>
                </c:pt>
                <c:pt idx="1">
                  <c:v>0.10086832241188691</c:v>
                </c:pt>
              </c:numCache>
            </c:numRef>
          </c:val>
        </c:ser>
        <c:ser>
          <c:idx val="1"/>
          <c:order val="1"/>
          <c:tx>
            <c:strRef>
              <c:f>Sheet1!$C$1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Sheet1!$C$2:$C$3</c:f>
              <c:numCache>
                <c:formatCode>General</c:formatCode>
                <c:ptCount val="2"/>
                <c:pt idx="0" formatCode="#,##0.00">
                  <c:v>666.84999999999945</c:v>
                </c:pt>
                <c:pt idx="1">
                  <c:v>74.81</c:v>
                </c:pt>
              </c:numCache>
            </c:numRef>
          </c:val>
        </c:ser>
        <c:dLbls>
          <c:showVal val="1"/>
        </c:dLbls>
        <c:firstSliceAng val="0"/>
      </c:pieChart>
    </c:plotArea>
    <c:legend>
      <c:legendPos val="r"/>
      <c:layout>
        <c:manualLayout>
          <c:xMode val="edge"/>
          <c:yMode val="edge"/>
          <c:x val="0.69944285949763496"/>
          <c:y val="0.31980688942379676"/>
          <c:w val="0.16529144001927332"/>
          <c:h val="0.2498502713067602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2281878827646628"/>
          <c:y val="0.11805555555555602"/>
          <c:w val="0.36458333333333331"/>
          <c:h val="0.62500000000000189"/>
        </c:manualLayout>
      </c:layout>
      <c:pieChart>
        <c:varyColors val="1"/>
        <c:ser>
          <c:idx val="0"/>
          <c:order val="0"/>
          <c:tx>
            <c:strRef>
              <c:f>Sheet1!$B$1</c:f>
              <c:strCache>
                <c:ptCount val="1"/>
                <c:pt idx="0">
                  <c:v>支出决算结构</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0.60410215576985449</c:v>
                </c:pt>
                <c:pt idx="1">
                  <c:v>0.39589784423014562</c:v>
                </c:pt>
              </c:numCache>
            </c:numRef>
          </c:val>
        </c:ser>
        <c:ser>
          <c:idx val="1"/>
          <c:order val="1"/>
          <c:tx>
            <c:strRef>
              <c:f>Sheet1!$C$1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Sheet1!$C$2:$C$3</c:f>
              <c:numCache>
                <c:formatCode>#,##0.00</c:formatCode>
                <c:ptCount val="2"/>
                <c:pt idx="0">
                  <c:v>409.69</c:v>
                </c:pt>
                <c:pt idx="1">
                  <c:v>268.48999999999967</c:v>
                </c:pt>
              </c:numCache>
            </c:numRef>
          </c:val>
        </c:ser>
        <c:dLbls>
          <c:showVal val="1"/>
        </c:dLbls>
        <c:firstSliceAng val="0"/>
      </c:pieChart>
    </c:plotArea>
    <c:legend>
      <c:legendPos val="r"/>
      <c:layout>
        <c:manualLayout>
          <c:xMode val="edge"/>
          <c:yMode val="edge"/>
          <c:x val="0.71762849956255614"/>
          <c:y val="0.30919478815148138"/>
          <c:w val="0.18514927821522328"/>
          <c:h val="0.2109755030621170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7328519855595925"/>
          <c:y val="8.211143695014661E-2"/>
          <c:w val="0.808664259927798"/>
          <c:h val="0.74193548387096797"/>
        </c:manualLayout>
      </c:layout>
      <c:barChart>
        <c:barDir val="col"/>
        <c:grouping val="clustered"/>
        <c:ser>
          <c:idx val="0"/>
          <c:order val="0"/>
          <c:tx>
            <c:strRef>
              <c:f>Sheet1!$A$2</c:f>
              <c:strCache>
                <c:ptCount val="1"/>
                <c:pt idx="0">
                  <c:v>收入</c:v>
                </c:pt>
              </c:strCache>
            </c:strRef>
          </c:tx>
          <c:cat>
            <c:strRef>
              <c:f>Sheet1!$B$1:$C$1</c:f>
              <c:strCache>
                <c:ptCount val="2"/>
                <c:pt idx="0">
                  <c:v>2020年</c:v>
                </c:pt>
                <c:pt idx="1">
                  <c:v>2021年</c:v>
                </c:pt>
              </c:strCache>
            </c:strRef>
          </c:cat>
          <c:val>
            <c:numRef>
              <c:f>Sheet1!$B$2:$C$2</c:f>
              <c:numCache>
                <c:formatCode>#,##0.00</c:formatCode>
                <c:ptCount val="2"/>
                <c:pt idx="0">
                  <c:v>936.81</c:v>
                </c:pt>
                <c:pt idx="1">
                  <c:v>666.84999999999945</c:v>
                </c:pt>
              </c:numCache>
            </c:numRef>
          </c:val>
        </c:ser>
        <c:ser>
          <c:idx val="1"/>
          <c:order val="1"/>
          <c:tx>
            <c:strRef>
              <c:f>Sheet1!$A$3</c:f>
              <c:strCache>
                <c:ptCount val="1"/>
                <c:pt idx="0">
                  <c:v>支出</c:v>
                </c:pt>
              </c:strCache>
            </c:strRef>
          </c:tx>
          <c:cat>
            <c:strRef>
              <c:f>Sheet1!$B$1:$C$1</c:f>
              <c:strCache>
                <c:ptCount val="2"/>
                <c:pt idx="0">
                  <c:v>2020年</c:v>
                </c:pt>
                <c:pt idx="1">
                  <c:v>2021年</c:v>
                </c:pt>
              </c:strCache>
            </c:strRef>
          </c:cat>
          <c:val>
            <c:numRef>
              <c:f>Sheet1!$B$3:$C$3</c:f>
              <c:numCache>
                <c:formatCode>#,##0.00</c:formatCode>
                <c:ptCount val="2"/>
                <c:pt idx="0">
                  <c:v>876.68000000000052</c:v>
                </c:pt>
                <c:pt idx="1">
                  <c:v>630.17999999999995</c:v>
                </c:pt>
              </c:numCache>
            </c:numRef>
          </c:val>
        </c:ser>
        <c:axId val="108729088"/>
        <c:axId val="108730624"/>
      </c:barChart>
      <c:catAx>
        <c:axId val="108729088"/>
        <c:scaling>
          <c:orientation val="minMax"/>
        </c:scaling>
        <c:axPos val="b"/>
        <c:numFmt formatCode="General"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8730624"/>
        <c:crosses val="autoZero"/>
        <c:auto val="1"/>
        <c:lblAlgn val="ctr"/>
        <c:lblOffset val="100"/>
        <c:tickLblSkip val="1"/>
      </c:catAx>
      <c:valAx>
        <c:axId val="108730624"/>
        <c:scaling>
          <c:orientation val="minMax"/>
        </c:scaling>
        <c:axPos val="l"/>
        <c:majorGridlines/>
        <c:numFmt formatCode="#,##0.00"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8729088"/>
        <c:crosses val="autoZero"/>
        <c:crossBetween val="between"/>
      </c:valAx>
    </c:plotArea>
    <c:plotVisOnly val="1"/>
    <c:dispBlanksAs val="gap"/>
  </c:chart>
  <c:spPr>
    <a:noFill/>
    <a:ln w="9525" cap="flat" cmpd="sng" algn="ctr">
      <a:noFill/>
      <a:prstDash val="solid"/>
      <a:round/>
    </a:ln>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l">
              <a:defRPr lang="zh-CN" sz="1100" b="0" i="0" u="none" strike="noStrike" kern="1200" baseline="0">
                <a:solidFill>
                  <a:schemeClr val="tx1"/>
                </a:solidFill>
                <a:latin typeface="+mn-lt"/>
                <a:ea typeface="+mn-ea"/>
                <a:cs typeface="+mn-cs"/>
              </a:defRPr>
            </a:pPr>
            <a:r>
              <a:rPr lang="zh-CN" altLang="en-US" sz="1000"/>
              <a:t>按支出性质分</a:t>
            </a:r>
          </a:p>
        </c:rich>
      </c:tx>
    </c:title>
    <c:plotArea>
      <c:layout>
        <c:manualLayout>
          <c:layoutTarget val="inner"/>
          <c:xMode val="edge"/>
          <c:yMode val="edge"/>
          <c:x val="9.9145602908585845E-2"/>
          <c:y val="0.25430186091603402"/>
          <c:w val="0.48740896276854401"/>
          <c:h val="0.59279468444822803"/>
        </c:manualLayout>
      </c:layout>
      <c:pieChart>
        <c:varyColors val="1"/>
        <c:ser>
          <c:idx val="0"/>
          <c:order val="0"/>
          <c:tx>
            <c:strRef>
              <c:f>Sheet1!$B$1</c:f>
              <c:strCache>
                <c:ptCount val="1"/>
                <c:pt idx="0">
                  <c:v>按支出性质分</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0.65011583991875399</c:v>
                </c:pt>
                <c:pt idx="1">
                  <c:v>0.34988416008124729</c:v>
                </c:pt>
              </c:numCache>
            </c:numRef>
          </c:val>
        </c:ser>
        <c:dLbls>
          <c:showVal val="1"/>
        </c:dLbls>
        <c:firstSliceAng val="0"/>
      </c:pieChart>
    </c:plotArea>
    <c:legend>
      <c:legendPos val="r"/>
      <c:layout>
        <c:manualLayout>
          <c:xMode val="edge"/>
          <c:yMode val="edge"/>
          <c:x val="0.59116788179255098"/>
          <c:y val="0.46251146317553732"/>
          <c:w val="0.30512841450374351"/>
          <c:h val="0.25168390095816301"/>
        </c:manualLayout>
      </c:layout>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000"/>
              <a:t>按支出经济分类分</a:t>
            </a:r>
          </a:p>
        </c:rich>
      </c:tx>
    </c:title>
    <c:plotArea>
      <c:layout>
        <c:manualLayout>
          <c:layoutTarget val="inner"/>
          <c:xMode val="edge"/>
          <c:yMode val="edge"/>
          <c:x val="0.17906584257613051"/>
          <c:y val="0.25813097436894544"/>
          <c:w val="0.26505630344594044"/>
          <c:h val="0.60864780791290063"/>
        </c:manualLayout>
      </c:layout>
      <c:pieChart>
        <c:varyColors val="1"/>
        <c:ser>
          <c:idx val="0"/>
          <c:order val="0"/>
          <c:tx>
            <c:strRef>
              <c:f>Sheet1!$B$1</c:f>
              <c:strCache>
                <c:ptCount val="1"/>
                <c:pt idx="0">
                  <c:v>按支出经济分类分</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工资福利支出</c:v>
                </c:pt>
                <c:pt idx="1">
                  <c:v>商品和服务支出</c:v>
                </c:pt>
                <c:pt idx="2">
                  <c:v>资本性支出</c:v>
                </c:pt>
              </c:strCache>
            </c:strRef>
          </c:cat>
          <c:val>
            <c:numRef>
              <c:f>Sheet1!$B$2:$B$4</c:f>
              <c:numCache>
                <c:formatCode>0.00%</c:formatCode>
                <c:ptCount val="3"/>
                <c:pt idx="0">
                  <c:v>0.50403059443333653</c:v>
                </c:pt>
                <c:pt idx="1">
                  <c:v>0.49522358691167639</c:v>
                </c:pt>
                <c:pt idx="2">
                  <c:v>7.4581865498746442E-4</c:v>
                </c:pt>
              </c:numCache>
            </c:numRef>
          </c:val>
        </c:ser>
        <c:dLbls>
          <c:showVal val="1"/>
        </c:dLbls>
        <c:firstSliceAng val="0"/>
      </c:pieChart>
    </c:plotArea>
    <c:legend>
      <c:legendPos val="r"/>
      <c:layout>
        <c:manualLayout>
          <c:xMode val="edge"/>
          <c:yMode val="edge"/>
          <c:x val="0.56422431067084489"/>
          <c:y val="0.29243511227763208"/>
          <c:w val="0.35548895097790301"/>
          <c:h val="0.63630148083341564"/>
        </c:manualLayout>
      </c:layout>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卫生健康支出</c:v>
                </c:pt>
                <c:pt idx="1">
                  <c:v>节能环保（类）</c:v>
                </c:pt>
                <c:pt idx="2">
                  <c:v>社会保障和就业（类）</c:v>
                </c:pt>
                <c:pt idx="3">
                  <c:v>住房保障（类）</c:v>
                </c:pt>
              </c:strCache>
            </c:strRef>
          </c:cat>
          <c:val>
            <c:numRef>
              <c:f>Sheet1!$B$2:$B$5</c:f>
              <c:numCache>
                <c:formatCode>0.00%</c:formatCode>
                <c:ptCount val="4"/>
                <c:pt idx="0">
                  <c:v>5.4873210828652187E-2</c:v>
                </c:pt>
                <c:pt idx="1">
                  <c:v>0.82566885651718691</c:v>
                </c:pt>
                <c:pt idx="2">
                  <c:v>7.1455774540607461E-2</c:v>
                </c:pt>
                <c:pt idx="3">
                  <c:v>4.8018026595575872E-2</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0427D-5189-4EE7-AB72-CCD318AC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zy2</cp:lastModifiedBy>
  <cp:revision>30</cp:revision>
  <cp:lastPrinted>2024-04-11T02:42:00Z</cp:lastPrinted>
  <dcterms:created xsi:type="dcterms:W3CDTF">2023-08-02T08:56:00Z</dcterms:created>
  <dcterms:modified xsi:type="dcterms:W3CDTF">2024-04-11T03:00:00Z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1988BF631C76C7C599D3C964E0728156</vt:lpwstr>
  </property>
</Properties>
</file>